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.  .2019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№ </w:t>
      </w:r>
    </w:p>
    <w:p w:rsidR="00AA145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 № 908 «Об изменении типа существующего муниципального бюджетного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Внести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приложение 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и распространяется на </w:t>
      </w:r>
      <w:proofErr w:type="gramStart"/>
      <w:r w:rsidRPr="008B2B97">
        <w:rPr>
          <w:sz w:val="24"/>
          <w:szCs w:val="24"/>
        </w:rPr>
        <w:t>правоотношения</w:t>
      </w:r>
      <w:proofErr w:type="gramEnd"/>
      <w:r w:rsidRPr="008B2B97">
        <w:rPr>
          <w:sz w:val="24"/>
          <w:szCs w:val="24"/>
        </w:rPr>
        <w:t xml:space="preserve"> возникающие с 01.01.2019 г.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pStyle w:val="ConsPlusNormal"/>
        <w:widowControl/>
        <w:ind w:firstLine="0"/>
        <w:rPr>
          <w:sz w:val="24"/>
          <w:szCs w:val="24"/>
        </w:rPr>
      </w:pPr>
      <w:r w:rsidRPr="008B2B97">
        <w:rPr>
          <w:sz w:val="24"/>
          <w:szCs w:val="24"/>
        </w:rPr>
        <w:t xml:space="preserve">Глава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  <w:t xml:space="preserve">А.Ф. Веретенников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Иванина О.А.</w:t>
      </w: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8B2B97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 xml:space="preserve">от        № </w:t>
      </w:r>
    </w:p>
    <w:p w:rsidR="00061392" w:rsidRPr="008B2B97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 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  от 31.10.2013 г.  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8B2B97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 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     Бородино  № 760   от 23.07.2013 г. «Об утверждении     Порядка принятия решений о     разработке муниципальных программ  города Бородино, их формировании и    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8B2B97" w:rsidRDefault="00C528AB">
            <w:pPr>
              <w:pStyle w:val="a9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        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         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         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   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           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         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       - 2020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       - 2021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 xml:space="preserve">Целевые показатели и показатели результативности </w:t>
            </w:r>
          </w:p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Уровень удовлетворенности населения города Бородино информационной открытостью органов местного самоуправления  (% от числа опрошенных)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Повышение качества издания газеты и осуществление издательской деятельности  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2021 - 1000 подписчиков.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 деятельности органов исполнительной и представительной властей города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20067" w:rsidRPr="00A20067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26 430 360,89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реализации:в 2014 го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в 2018 году всего </w:t>
            </w:r>
            <w:r w:rsidR="00AA1451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3 244 974</w:t>
            </w:r>
            <w:r w:rsidR="00E17EB5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,07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 том числе средства местн</w:t>
            </w:r>
            <w:r w:rsidR="00C74F99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ого бюджета 3 062 741,3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7,</w:t>
            </w:r>
            <w:r w:rsidR="00AA1451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сред</w:t>
            </w:r>
            <w:r w:rsidR="00C74F99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ства краевого бюджета182 232,70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внебюджетные средства 0,00 рублей;</w:t>
            </w:r>
          </w:p>
          <w:p w:rsidR="00061392" w:rsidRPr="008B2B97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в 2019 году всего 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</w:t>
            </w:r>
            <w:r w:rsidR="003817A5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 631 081,25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рублей, в том числе средства местного бюджета 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3 631081</w:t>
            </w:r>
            <w:r w:rsidR="003F4462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,2</w:t>
            </w:r>
            <w:r w:rsidR="00DD2412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5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сред</w:t>
            </w:r>
            <w:r w:rsidR="003817A5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ства краевого бюджета 00,00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внебюджетные средства 0,00 рублей.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0,00 рублей.</w:t>
            </w:r>
          </w:p>
          <w:p w:rsidR="00061392" w:rsidRPr="008B2B97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8B2B97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8B2B97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  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8B2B97">
        <w:rPr>
          <w:rFonts w:ascii="Arial" w:hAnsi="Arial" w:cs="Arial"/>
          <w:sz w:val="24"/>
          <w:szCs w:val="24"/>
        </w:rPr>
        <w:t>поднимать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  лежит в плоскости развития информационных </w:t>
      </w:r>
      <w:r w:rsidRPr="008B2B97">
        <w:rPr>
          <w:rFonts w:ascii="Arial" w:hAnsi="Arial" w:cs="Arial"/>
          <w:sz w:val="24"/>
          <w:szCs w:val="24"/>
        </w:rPr>
        <w:lastRenderedPageBreak/>
        <w:t>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 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Журналисты «Бородинского вестника» неоднократно становились победителями  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 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  коллектив редакции   участия в творческих конкурсах не принимал.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8B2B97">
        <w:rPr>
          <w:rFonts w:ascii="Arial" w:hAnsi="Arial" w:cs="Arial"/>
          <w:sz w:val="24"/>
          <w:szCs w:val="24"/>
        </w:rPr>
        <w:t>в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B2B97">
        <w:rPr>
          <w:rFonts w:ascii="Arial" w:hAnsi="Arial" w:cs="Arial"/>
          <w:sz w:val="24"/>
          <w:szCs w:val="24"/>
        </w:rPr>
        <w:t>Бор</w:t>
      </w:r>
      <w:r w:rsidR="00F25D8E">
        <w:rPr>
          <w:rFonts w:ascii="Arial" w:hAnsi="Arial" w:cs="Arial"/>
          <w:sz w:val="24"/>
          <w:szCs w:val="24"/>
        </w:rPr>
        <w:t>одинский</w:t>
      </w:r>
      <w:proofErr w:type="gramEnd"/>
      <w:r w:rsidR="00F25D8E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</w:t>
      </w:r>
      <w:proofErr w:type="spellStart"/>
      <w:r w:rsidRPr="008B2B97">
        <w:rPr>
          <w:rFonts w:ascii="Arial" w:hAnsi="Arial" w:cs="Arial"/>
          <w:sz w:val="24"/>
          <w:szCs w:val="24"/>
        </w:rPr>
        <w:t>Эмилия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 годах  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</w:t>
      </w:r>
      <w:proofErr w:type="spellStart"/>
      <w:r w:rsidRPr="008B2B97">
        <w:rPr>
          <w:rFonts w:ascii="Arial" w:hAnsi="Arial" w:cs="Arial"/>
          <w:sz w:val="24"/>
          <w:szCs w:val="24"/>
        </w:rPr>
        <w:t>Эмилии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lastRenderedPageBreak/>
        <w:t xml:space="preserve"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  В 2016   году внебюджетные средства  расходовались на текущую деятельность учреждения.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8B2B97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  не достижение целевых значений по ряду показателей (индикаторов) реализации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 программы, формирование эффективной системы управления  и </w:t>
      </w:r>
      <w:proofErr w:type="gramStart"/>
      <w:r w:rsidRPr="008B2B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>
        <w:rPr>
          <w:rFonts w:ascii="Arial" w:hAnsi="Arial" w:cs="Arial"/>
          <w:sz w:val="24"/>
          <w:szCs w:val="24"/>
        </w:rPr>
        <w:t>го края от 26.12.2016 г.  № 969.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Реализация программы будет осуществляться в соответствии со </w:t>
      </w:r>
      <w:r w:rsidRPr="008B2B97">
        <w:rPr>
          <w:rFonts w:ascii="Arial" w:hAnsi="Arial" w:cs="Arial"/>
          <w:sz w:val="24"/>
          <w:szCs w:val="24"/>
        </w:rPr>
        <w:lastRenderedPageBreak/>
        <w:t>следующими основными приоритетами: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8B2B97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 услуги, в том числе: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  всех групп населения;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8B2B97" w:rsidRDefault="00C528AB">
      <w:pPr>
        <w:pStyle w:val="ConsPlusNormal"/>
        <w:widowControl/>
        <w:jc w:val="both"/>
        <w:rPr>
          <w:sz w:val="24"/>
          <w:szCs w:val="24"/>
        </w:rPr>
      </w:pPr>
      <w:r w:rsidRPr="008B2B97">
        <w:rPr>
          <w:sz w:val="24"/>
          <w:szCs w:val="24"/>
        </w:rPr>
        <w:t>Реализация программы позволит расширить доступ населения к  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8B2B97" w:rsidRDefault="00061392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61392" w:rsidRPr="008B2B97" w:rsidRDefault="00C528A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Механизм реализации  программы </w:t>
      </w:r>
    </w:p>
    <w:p w:rsidR="00061392" w:rsidRPr="008B2B97" w:rsidRDefault="00061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 МКУ «Редакци</w:t>
      </w:r>
      <w:r w:rsidR="00EF2052" w:rsidRPr="008B2B97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="00EF2052" w:rsidRPr="008B2B9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B2B97">
        <w:rPr>
          <w:rFonts w:ascii="Arial" w:hAnsi="Arial" w:cs="Arial"/>
          <w:sz w:val="24"/>
          <w:szCs w:val="24"/>
        </w:rPr>
        <w:t>которое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  мероприятиях, конкурсах, проектах;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061392" w:rsidRPr="008B2B97" w:rsidRDefault="00C52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выход  выпусков газеты «Бородинский вестник», приложений;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корректировку программы;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8B2B97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8B2B97" w:rsidRDefault="00061392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Своевременная и в полном объеме  реализация программы позволит: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  информационной открытостью органов местного самоуправления  (% от числа оп</w:t>
      </w:r>
      <w:r w:rsidR="00EF2052" w:rsidRPr="008B2B97">
        <w:rPr>
          <w:rFonts w:ascii="Arial" w:hAnsi="Arial" w:cs="Arial"/>
          <w:sz w:val="24"/>
          <w:szCs w:val="24"/>
        </w:rPr>
        <w:t>рошенных)  на уровне 95 % в 2021 году: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 на уровне 1000 подписчиков в год;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8B2B97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 Программе.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lastRenderedPageBreak/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-Да; 12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182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</w:r>
      <w:bookmarkStart w:id="2" w:name="__DdeLink__299_761085795"/>
      <w:bookmarkEnd w:id="2"/>
      <w:r w:rsidRPr="008B2B97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  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  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  «Наш город», «Правопорядок», «Трудовая жизнь», «Молодежка»». 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) получают газету на работе - 82, оформляют подписку на почте - 45, подписываются в редакции – 28, покупают газету в киоске "Газеты и журналы» - 55. 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</w:r>
      <w:r w:rsidRPr="00931FF8">
        <w:rPr>
          <w:rFonts w:ascii="Arial" w:hAnsi="Arial" w:cs="Arial"/>
          <w:spacing w:val="-2"/>
          <w:sz w:val="24"/>
          <w:szCs w:val="24"/>
        </w:rPr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 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931FF8">
        <w:rPr>
          <w:rFonts w:ascii="Arial" w:hAnsi="Arial" w:cs="Arial"/>
          <w:spacing w:val="-2"/>
          <w:sz w:val="24"/>
          <w:szCs w:val="24"/>
        </w:rPr>
        <w:t>и, 9</w:t>
      </w:r>
      <w:r w:rsidRPr="00931FF8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</w:t>
      </w:r>
      <w:r w:rsidRPr="00931FF8">
        <w:rPr>
          <w:rFonts w:ascii="Arial" w:hAnsi="Arial" w:cs="Arial"/>
          <w:spacing w:val="-2"/>
          <w:sz w:val="24"/>
          <w:szCs w:val="24"/>
        </w:rPr>
        <w:lastRenderedPageBreak/>
        <w:t xml:space="preserve">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931FF8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931FF8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931FF8">
        <w:rPr>
          <w:rFonts w:ascii="Arial" w:hAnsi="Arial" w:cs="Arial"/>
          <w:spacing w:val="-2"/>
          <w:sz w:val="24"/>
          <w:szCs w:val="24"/>
        </w:rPr>
        <w:t>)</w:t>
      </w:r>
      <w:r w:rsidR="00B2209A">
        <w:rPr>
          <w:rFonts w:ascii="Arial" w:hAnsi="Arial" w:cs="Arial"/>
          <w:spacing w:val="-2"/>
          <w:sz w:val="24"/>
          <w:szCs w:val="24"/>
        </w:rPr>
        <w:t xml:space="preserve"> получают газету на работе 79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8B2B97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  <w:r w:rsidR="00A41787">
        <w:rPr>
          <w:rFonts w:ascii="Arial" w:hAnsi="Arial" w:cs="Arial"/>
          <w:spacing w:val="-2"/>
          <w:sz w:val="24"/>
          <w:szCs w:val="24"/>
        </w:rPr>
        <w:t>В 2018 году появила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>сь р</w:t>
      </w:r>
      <w:r w:rsidR="00A41787">
        <w:rPr>
          <w:rFonts w:ascii="Arial" w:hAnsi="Arial" w:cs="Arial"/>
          <w:spacing w:val="-2"/>
          <w:sz w:val="24"/>
          <w:szCs w:val="24"/>
        </w:rPr>
        <w:t>убрика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 xml:space="preserve"> «</w:t>
      </w:r>
      <w:r w:rsidR="00A41787">
        <w:rPr>
          <w:rFonts w:ascii="Arial" w:hAnsi="Arial" w:cs="Arial"/>
          <w:spacing w:val="-2"/>
          <w:sz w:val="24"/>
          <w:szCs w:val="24"/>
        </w:rPr>
        <w:t>В городской администрации</w:t>
      </w:r>
      <w:r w:rsidR="00A41787" w:rsidRPr="008B2B97">
        <w:rPr>
          <w:rFonts w:ascii="Arial" w:hAnsi="Arial" w:cs="Arial"/>
          <w:spacing w:val="-2"/>
          <w:sz w:val="24"/>
          <w:szCs w:val="24"/>
        </w:rPr>
        <w:t>»</w:t>
      </w:r>
      <w:r w:rsidR="00A41787">
        <w:rPr>
          <w:rFonts w:ascii="Arial" w:hAnsi="Arial" w:cs="Arial"/>
          <w:spacing w:val="-2"/>
          <w:sz w:val="24"/>
          <w:szCs w:val="24"/>
        </w:rPr>
        <w:t>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ab/>
      </w:r>
      <w:r w:rsidRPr="008B2B97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>
        <w:rPr>
          <w:rFonts w:ascii="Arial" w:hAnsi="Arial" w:cs="Arial"/>
          <w:spacing w:val="-2"/>
          <w:sz w:val="24"/>
          <w:szCs w:val="24"/>
        </w:rPr>
        <w:t>ного анкетирования. В  2018 году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вестник?»- 192 респондентов ответили: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 xml:space="preserve">а; 8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  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191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>
        <w:rPr>
          <w:rFonts w:ascii="Arial" w:hAnsi="Arial" w:cs="Arial"/>
          <w:sz w:val="24"/>
          <w:szCs w:val="24"/>
        </w:rPr>
        <w:t>иков анкетирования: среднее – 19</w:t>
      </w:r>
      <w:r w:rsidRPr="008B2B97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8B2B97" w:rsidRDefault="00061392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8AB" w:rsidRPr="008B2B97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8B2B97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8B2B97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</w:t>
      </w:r>
      <w:r w:rsidR="00A41787">
        <w:rPr>
          <w:rFonts w:ascii="Arial" w:hAnsi="Arial" w:cs="Arial"/>
          <w:sz w:val="24"/>
          <w:szCs w:val="24"/>
        </w:rPr>
        <w:t>рственных и муниципальных нужд»;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>
        <w:rPr>
          <w:rFonts w:ascii="Arial" w:hAnsi="Arial" w:cs="Arial"/>
          <w:sz w:val="24"/>
          <w:szCs w:val="24"/>
        </w:rPr>
        <w:t>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Pr="008B2B97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8B2B97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8B2B97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8B2B97" w:rsidRDefault="00061392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8B2B97" w:rsidRDefault="00C528AB">
      <w:pPr>
        <w:pStyle w:val="a9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8B2B97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8B2B97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Объем фи</w:t>
      </w:r>
      <w:r w:rsidR="002D24B0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20067" w:rsidRPr="00EA2344">
        <w:rPr>
          <w:rFonts w:ascii="Arial" w:hAnsi="Arial" w:cs="Arial"/>
          <w:sz w:val="24"/>
          <w:szCs w:val="24"/>
          <w:highlight w:val="yellow"/>
          <w:lang w:eastAsia="ar-SA"/>
        </w:rPr>
        <w:t>26 430</w:t>
      </w:r>
      <w:r w:rsidR="00EA2344" w:rsidRPr="00EA2344">
        <w:rPr>
          <w:rFonts w:ascii="Arial" w:hAnsi="Arial" w:cs="Arial"/>
          <w:sz w:val="24"/>
          <w:szCs w:val="24"/>
          <w:highlight w:val="yellow"/>
          <w:lang w:eastAsia="ar-SA"/>
        </w:rPr>
        <w:t> </w:t>
      </w:r>
      <w:proofErr w:type="gramStart"/>
      <w:r w:rsidR="00A20067" w:rsidRPr="00EA2344">
        <w:rPr>
          <w:rFonts w:ascii="Arial" w:hAnsi="Arial" w:cs="Arial"/>
          <w:sz w:val="24"/>
          <w:szCs w:val="24"/>
          <w:highlight w:val="yellow"/>
          <w:lang w:eastAsia="ar-SA"/>
        </w:rPr>
        <w:t>360</w:t>
      </w:r>
      <w:r w:rsidR="00EA2344" w:rsidRPr="00EA2344">
        <w:rPr>
          <w:rFonts w:ascii="Arial" w:hAnsi="Arial" w:cs="Arial"/>
          <w:sz w:val="24"/>
          <w:szCs w:val="24"/>
          <w:highlight w:val="yellow"/>
          <w:lang w:eastAsia="ar-SA"/>
        </w:rPr>
        <w:t>,89</w:t>
      </w:r>
      <w:proofErr w:type="gramEnd"/>
      <w:r w:rsidR="00EA234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8B2B97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8B2B97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  775 498,18 средства краевого бюджета 0,00 рублей, внебюджетные средства 0,00 рублей;</w:t>
      </w:r>
    </w:p>
    <w:p w:rsidR="00A20067" w:rsidRPr="00BE2A02" w:rsidRDefault="00A20067" w:rsidP="00A2006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в 2018 году всего 3 244 974,07 рублей, в том числе средства местн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ого бюджета 3 062 741,3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7, сред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ства краевого бюджета182 232,70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внебюджетные средства 0,00 рублей;</w:t>
      </w:r>
    </w:p>
    <w:p w:rsidR="00061392" w:rsidRPr="00A20067" w:rsidRDefault="00A2006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lastRenderedPageBreak/>
        <w:t>в 2019 году всего 3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 631 081,25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 том числе средства местного бюджета 3 631081,25, сред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ства краевого бюджета 00,00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внебюджетные средства 0,00 рублей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 рублей, в том числе средства местного бюджета </w:t>
      </w:r>
      <w:bookmarkEnd w:id="3"/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</w:t>
      </w:r>
      <w:r w:rsidR="00C74F99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,</w:t>
      </w:r>
      <w:r w:rsidR="003F4462">
        <w:rPr>
          <w:rFonts w:ascii="Arial" w:hAnsi="Arial" w:cs="Arial"/>
          <w:sz w:val="24"/>
          <w:szCs w:val="24"/>
          <w:lang w:eastAsia="ar-SA"/>
        </w:rPr>
        <w:t xml:space="preserve">3 577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Ресурсное обеспечени</w:t>
      </w:r>
      <w:r w:rsidR="00EF2052" w:rsidRPr="008B2B97">
        <w:rPr>
          <w:rFonts w:ascii="Arial" w:hAnsi="Arial" w:cs="Arial"/>
          <w:sz w:val="24"/>
          <w:szCs w:val="24"/>
        </w:rPr>
        <w:t>е</w:t>
      </w:r>
      <w:r w:rsidRPr="008B2B97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  приведены в приложении № 4 к Программе.</w:t>
      </w:r>
    </w:p>
    <w:p w:rsidR="00061392" w:rsidRPr="008B2B97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обеспечение деятельности МКУ «Редакция газеты  «Бородинский вестник».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d"/>
        <w:tblW w:w="15689" w:type="dxa"/>
        <w:tblInd w:w="-10" w:type="dxa"/>
        <w:tblCellMar>
          <w:left w:w="98" w:type="dxa"/>
        </w:tblCellMar>
        <w:tblLook w:val="04A0"/>
      </w:tblPr>
      <w:tblGrid>
        <w:gridCol w:w="15809"/>
      </w:tblGrid>
      <w:tr w:rsidR="00061392" w:rsidRPr="00C528AB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d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/>
            </w:tblPr>
            <w:tblGrid>
              <w:gridCol w:w="500"/>
              <w:gridCol w:w="766"/>
              <w:gridCol w:w="1108"/>
              <w:gridCol w:w="155"/>
              <w:gridCol w:w="1205"/>
              <w:gridCol w:w="1149"/>
              <w:gridCol w:w="1680"/>
              <w:gridCol w:w="1721"/>
              <w:gridCol w:w="602"/>
              <w:gridCol w:w="602"/>
              <w:gridCol w:w="614"/>
              <w:gridCol w:w="690"/>
              <w:gridCol w:w="1125"/>
              <w:gridCol w:w="141"/>
              <w:gridCol w:w="1135"/>
              <w:gridCol w:w="180"/>
              <w:gridCol w:w="984"/>
              <w:gridCol w:w="103"/>
              <w:gridCol w:w="1143"/>
            </w:tblGrid>
            <w:tr w:rsidR="009E75C3" w:rsidTr="004D5698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Приложение № 1</w:t>
                  </w:r>
                  <w:r>
                    <w:br/>
                    <w:t>к Паспорту муниципальной программы</w:t>
                  </w: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"Содействие развитию гражданского общества в городе Бородино"</w:t>
                  </w:r>
                </w:p>
              </w:tc>
            </w:tr>
            <w:tr w:rsidR="009E75C3" w:rsidTr="004D5698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2F1BD0" w:rsidTr="002F1BD0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Вес показателя 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A41787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Отчетный финансовый год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F1BD0" w:rsidTr="002F1BD0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</w:tc>
            </w:tr>
            <w:tr w:rsidR="004D5698" w:rsidTr="00F25D8E">
              <w:trPr>
                <w:trHeight w:val="67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F1BD0" w:rsidTr="002F1BD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2F1BD0" w:rsidTr="002F1BD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Повышение качества издания газеты и осуществление издательской деятельности        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подписчиков,  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4D5698" w:rsidTr="00F25D8E">
              <w:trPr>
                <w:trHeight w:val="57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1.   Обеспечение жителей города Бородино достоверной социально значимой информацией</w:t>
                  </w:r>
                </w:p>
              </w:tc>
            </w:tr>
            <w:tr w:rsidR="002F1BD0" w:rsidTr="002F1BD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  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  <w:t>ого</w:t>
                  </w:r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2F1BD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4D5698" w:rsidTr="004D5698">
              <w:trPr>
                <w:trHeight w:val="61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F1BD0" w:rsidTr="004D5698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  <w:t>ого</w:t>
                  </w:r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4D5698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4D5698" w:rsidTr="00F25D8E">
              <w:trPr>
                <w:trHeight w:val="48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Задача 3.  Повышение качества издания газеты и осуществление издательской деятельности         </w:t>
                  </w:r>
                </w:p>
              </w:tc>
            </w:tr>
            <w:tr w:rsidR="002F1BD0" w:rsidTr="004D5698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C528A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Default="00061392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Pr="00C528AB" w:rsidRDefault="000C10E5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85" w:type="dxa"/>
        <w:tblInd w:w="-328" w:type="dxa"/>
        <w:tblLayout w:type="fixed"/>
        <w:tblCellMar>
          <w:left w:w="98" w:type="dxa"/>
        </w:tblCellMar>
        <w:tblLook w:val="04A0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C528AB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C528A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01B4" w:rsidRPr="00C528AB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28A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Год, предшествующий реализации  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7594A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7594A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C528AB" w:rsidTr="002F1BD0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3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7E" w:rsidRPr="00C528AB" w:rsidTr="00F25D8E">
        <w:trPr>
          <w:trHeight w:val="1230"/>
        </w:trPr>
        <w:tc>
          <w:tcPr>
            <w:tcW w:w="15985" w:type="dxa"/>
            <w:gridSpan w:val="35"/>
          </w:tcPr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C528AB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</w:t>
            </w:r>
            <w:r w:rsidR="003306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C528AB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       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16" w:type="dxa"/>
        <w:tblInd w:w="-328" w:type="dxa"/>
        <w:tblLayout w:type="fixed"/>
        <w:tblCellMar>
          <w:left w:w="98" w:type="dxa"/>
        </w:tblCellMar>
        <w:tblLook w:val="04A0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C528A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94A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B7594A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B7594A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A91C7E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C7E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C528A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C528A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C528AB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C528AB" w:rsidTr="00EA2344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61392" w:rsidRPr="00C528AB" w:rsidRDefault="00C528AB" w:rsidP="00EA2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61392" w:rsidRPr="00C528AB" w:rsidRDefault="00C528AB" w:rsidP="00EA2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61392" w:rsidRPr="00C528AB" w:rsidRDefault="00C528AB" w:rsidP="00EA2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C528AB" w:rsidTr="00EA2344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C528A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A91C7E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1C7E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 программе</w:t>
            </w:r>
          </w:p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C528AB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C528AB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C528AB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C528AB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3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  <w:r w:rsidR="00EA2344" w:rsidRPr="00EA23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 631 081,25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3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3577753,25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3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3 577 753,25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344">
              <w:rPr>
                <w:rFonts w:ascii="Arial" w:hAnsi="Arial" w:cs="Arial"/>
                <w:b/>
                <w:bCs/>
                <w:sz w:val="20"/>
                <w:szCs w:val="20"/>
              </w:rPr>
              <w:t>10 960231,30</w:t>
            </w:r>
          </w:p>
        </w:tc>
      </w:tr>
      <w:tr w:rsidR="00CB331E" w:rsidRPr="00C528AB" w:rsidTr="00EA2344">
        <w:trPr>
          <w:trHeight w:val="55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1 702 753,04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344">
              <w:rPr>
                <w:rFonts w:ascii="Arial" w:hAnsi="Arial" w:cs="Arial"/>
                <w:sz w:val="18"/>
                <w:szCs w:val="18"/>
              </w:rPr>
              <w:t>1 702753,04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1 702753,04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</w:p>
        </w:tc>
      </w:tr>
      <w:tr w:rsidR="00CB331E" w:rsidRPr="00C528AB" w:rsidTr="00EA2344">
        <w:trPr>
          <w:trHeight w:val="43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514 231,42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514 231,42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514 201,42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1 542 694,26</w:t>
            </w:r>
          </w:p>
        </w:tc>
      </w:tr>
      <w:tr w:rsidR="00546951" w:rsidRPr="00C528AB" w:rsidTr="00EA2344">
        <w:trPr>
          <w:trHeight w:val="399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1310095990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53 328,00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53 328,00</w:t>
            </w:r>
          </w:p>
        </w:tc>
      </w:tr>
      <w:tr w:rsidR="00CB331E" w:rsidRPr="00C528AB" w:rsidTr="001C2375">
        <w:trPr>
          <w:trHeight w:val="43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1 223 185, 01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1C2375" w:rsidRDefault="00CB331E" w:rsidP="001C2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5">
              <w:rPr>
                <w:rFonts w:ascii="Arial" w:hAnsi="Arial" w:cs="Arial"/>
                <w:sz w:val="18"/>
                <w:szCs w:val="18"/>
              </w:rPr>
              <w:t>1</w:t>
            </w:r>
            <w:r w:rsidR="001C2375" w:rsidRPr="001C2375">
              <w:rPr>
                <w:rFonts w:ascii="Arial" w:hAnsi="Arial" w:cs="Arial"/>
                <w:sz w:val="18"/>
                <w:szCs w:val="18"/>
              </w:rPr>
              <w:t> 223185,0</w:t>
            </w:r>
            <w:r w:rsidRPr="001C23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1C2375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375">
              <w:rPr>
                <w:rFonts w:ascii="Arial" w:hAnsi="Arial" w:cs="Arial"/>
                <w:sz w:val="18"/>
                <w:szCs w:val="18"/>
              </w:rPr>
              <w:t>1 223 185, 01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3 669 555,03</w:t>
            </w:r>
          </w:p>
        </w:tc>
      </w:tr>
      <w:tr w:rsidR="00CB331E" w:rsidRPr="00C528AB" w:rsidTr="00EA2344">
        <w:trPr>
          <w:trHeight w:val="51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CB331E" w:rsidRPr="00C528AB" w:rsidTr="00EA2344">
        <w:trPr>
          <w:trHeight w:val="43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  <w:r w:rsidR="00546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064,00</w:t>
            </w:r>
          </w:p>
        </w:tc>
      </w:tr>
      <w:tr w:rsidR="00CB331E" w:rsidRPr="00C528AB" w:rsidTr="00EA2344">
        <w:trPr>
          <w:trHeight w:val="4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546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847,34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4790" w:type="dxa"/>
        <w:tblInd w:w="-10" w:type="dxa"/>
        <w:tblCellMar>
          <w:left w:w="98" w:type="dxa"/>
        </w:tblCellMar>
        <w:tblLook w:val="04A0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C528A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</w:p>
          <w:p w:rsidR="00061392" w:rsidRPr="00C528A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с учетом источников финансирования, в том числе по уровням бюджетной системы</w:t>
            </w:r>
          </w:p>
        </w:tc>
      </w:tr>
      <w:tr w:rsidR="00061392" w:rsidRPr="00C528A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C528A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C528A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1C237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631 081,25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44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A054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1C2375">
              <w:rPr>
                <w:rFonts w:ascii="Arial" w:hAnsi="Arial" w:cs="Arial"/>
                <w:b/>
                <w:bCs/>
                <w:sz w:val="24"/>
                <w:szCs w:val="24"/>
              </w:rPr>
              <w:t> 786 587,75</w:t>
            </w:r>
          </w:p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1C2375">
        <w:trPr>
          <w:trHeight w:val="55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1C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2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2B9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1C2375" w:rsidP="001C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A05478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E04DA8">
              <w:rPr>
                <w:rFonts w:ascii="Arial" w:hAnsi="Arial" w:cs="Arial"/>
                <w:sz w:val="24"/>
                <w:szCs w:val="24"/>
                <w:lang w:eastAsia="ar-SA"/>
              </w:rPr>
              <w:t> 631 081,25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A05478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A05478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446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A14D7F">
              <w:rPr>
                <w:rFonts w:ascii="Arial" w:hAnsi="Arial" w:cs="Arial"/>
                <w:b/>
                <w:bCs/>
                <w:sz w:val="24"/>
                <w:szCs w:val="24"/>
              </w:rPr>
              <w:t> 786 587</w:t>
            </w:r>
            <w:r w:rsidR="00E04DA8">
              <w:rPr>
                <w:rFonts w:ascii="Arial" w:hAnsi="Arial" w:cs="Arial"/>
                <w:b/>
                <w:bCs/>
                <w:sz w:val="24"/>
                <w:szCs w:val="24"/>
              </w:rPr>
              <w:t>,75</w:t>
            </w:r>
          </w:p>
        </w:tc>
      </w:tr>
      <w:tr w:rsidR="009262B9" w:rsidRPr="00C528A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61392"/>
    <w:rsid w:val="0004648F"/>
    <w:rsid w:val="00061392"/>
    <w:rsid w:val="000B4698"/>
    <w:rsid w:val="000C10E5"/>
    <w:rsid w:val="001C2375"/>
    <w:rsid w:val="00226878"/>
    <w:rsid w:val="00297A5D"/>
    <w:rsid w:val="002D24B0"/>
    <w:rsid w:val="002F1BD0"/>
    <w:rsid w:val="0033069C"/>
    <w:rsid w:val="00335A9A"/>
    <w:rsid w:val="003443E5"/>
    <w:rsid w:val="003817A5"/>
    <w:rsid w:val="003F4462"/>
    <w:rsid w:val="00402FF0"/>
    <w:rsid w:val="004D5698"/>
    <w:rsid w:val="0052620F"/>
    <w:rsid w:val="00546951"/>
    <w:rsid w:val="00557116"/>
    <w:rsid w:val="005B7B36"/>
    <w:rsid w:val="00622FB6"/>
    <w:rsid w:val="006D01B4"/>
    <w:rsid w:val="007234E6"/>
    <w:rsid w:val="00757FD6"/>
    <w:rsid w:val="007C7AFF"/>
    <w:rsid w:val="007E5394"/>
    <w:rsid w:val="007F0FE7"/>
    <w:rsid w:val="008B2B97"/>
    <w:rsid w:val="008B3334"/>
    <w:rsid w:val="009136BA"/>
    <w:rsid w:val="009262B9"/>
    <w:rsid w:val="00931FF8"/>
    <w:rsid w:val="00967425"/>
    <w:rsid w:val="00990A53"/>
    <w:rsid w:val="009E75C3"/>
    <w:rsid w:val="00A05478"/>
    <w:rsid w:val="00A14D7F"/>
    <w:rsid w:val="00A20067"/>
    <w:rsid w:val="00A41787"/>
    <w:rsid w:val="00A91C7E"/>
    <w:rsid w:val="00AA1451"/>
    <w:rsid w:val="00AD45AA"/>
    <w:rsid w:val="00B2209A"/>
    <w:rsid w:val="00B7594A"/>
    <w:rsid w:val="00BE2A02"/>
    <w:rsid w:val="00BE333F"/>
    <w:rsid w:val="00C528AB"/>
    <w:rsid w:val="00C74F99"/>
    <w:rsid w:val="00CB331E"/>
    <w:rsid w:val="00DD2412"/>
    <w:rsid w:val="00E04DA8"/>
    <w:rsid w:val="00E17EB5"/>
    <w:rsid w:val="00E30C46"/>
    <w:rsid w:val="00E72434"/>
    <w:rsid w:val="00EA2344"/>
    <w:rsid w:val="00EE3E51"/>
    <w:rsid w:val="00EE688A"/>
    <w:rsid w:val="00EF2052"/>
    <w:rsid w:val="00F25D8E"/>
    <w:rsid w:val="00F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a5">
    <w:name w:val="Заголовок"/>
    <w:basedOn w:val="a"/>
    <w:next w:val="a6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7">
    <w:name w:val="List"/>
    <w:basedOn w:val="a6"/>
    <w:rsid w:val="00061392"/>
    <w:rPr>
      <w:rFonts w:cs="Mangal"/>
    </w:rPr>
  </w:style>
  <w:style w:type="paragraph" w:customStyle="1" w:styleId="1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9">
    <w:name w:val="List Paragraph"/>
    <w:basedOn w:val="a"/>
    <w:qFormat/>
    <w:rsid w:val="00D65C78"/>
    <w:pPr>
      <w:ind w:left="720"/>
      <w:contextualSpacing/>
    </w:pPr>
  </w:style>
  <w:style w:type="paragraph" w:styleId="a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b">
    <w:name w:val="Содержимое таблицы"/>
    <w:basedOn w:val="a"/>
    <w:qFormat/>
    <w:rsid w:val="00061392"/>
  </w:style>
  <w:style w:type="paragraph" w:customStyle="1" w:styleId="ac">
    <w:name w:val="Заголовок таблицы"/>
    <w:basedOn w:val="ab"/>
    <w:qFormat/>
    <w:rsid w:val="00061392"/>
  </w:style>
  <w:style w:type="table" w:styleId="ad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432F-58CE-4115-865F-1EFE7817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20</Pages>
  <Words>5617</Words>
  <Characters>32018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НС</cp:lastModifiedBy>
  <cp:revision>35</cp:revision>
  <cp:lastPrinted>2018-11-16T02:05:00Z</cp:lastPrinted>
  <dcterms:created xsi:type="dcterms:W3CDTF">2018-03-28T07:03:00Z</dcterms:created>
  <dcterms:modified xsi:type="dcterms:W3CDTF">2019-02-12T07:50:00Z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