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2E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A342E" w:rsidRPr="003D69D3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A342E" w:rsidRDefault="0072004A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959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0959BE">
        <w:rPr>
          <w:rFonts w:ascii="Arial" w:hAnsi="Arial" w:cs="Arial"/>
          <w:sz w:val="24"/>
          <w:szCs w:val="24"/>
        </w:rPr>
        <w:t>.2023</w:t>
      </w:r>
      <w:r w:rsidR="00EA342E">
        <w:rPr>
          <w:rFonts w:ascii="Arial" w:hAnsi="Arial" w:cs="Arial"/>
          <w:sz w:val="24"/>
          <w:szCs w:val="24"/>
        </w:rPr>
        <w:tab/>
        <w:t>г. Бородино</w:t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118</w:t>
      </w:r>
    </w:p>
    <w:p w:rsidR="00EA342E" w:rsidRDefault="00EA342E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A342E" w:rsidRPr="008B2B97" w:rsidRDefault="00EA342E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EA342E" w:rsidRPr="008B2B97" w:rsidTr="008C249A">
        <w:tc>
          <w:tcPr>
            <w:tcW w:w="9606" w:type="dxa"/>
            <w:vMerge w:val="restart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  <w:bookmarkEnd w:id="0"/>
          </w:p>
          <w:p w:rsidR="00EA342E" w:rsidRPr="008B2B97" w:rsidRDefault="00EA342E" w:rsidP="008C249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A342E" w:rsidRPr="008B2B97" w:rsidTr="008C249A">
        <w:tc>
          <w:tcPr>
            <w:tcW w:w="9606" w:type="dxa"/>
            <w:vMerge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A342E" w:rsidRPr="008B2B97" w:rsidRDefault="00EA342E" w:rsidP="00EA342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>
        <w:rPr>
          <w:rFonts w:ascii="Arial" w:hAnsi="Arial" w:cs="Arial"/>
          <w:sz w:val="24"/>
          <w:szCs w:val="24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Контроль за исполнением </w:t>
      </w:r>
      <w:r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>
        <w:rPr>
          <w:sz w:val="24"/>
          <w:szCs w:val="24"/>
        </w:rPr>
        <w:t xml:space="preserve"> и на сайте городского округа города Бородино Красноярского края</w:t>
      </w:r>
      <w:r w:rsidRPr="008B2B97">
        <w:rPr>
          <w:sz w:val="24"/>
          <w:szCs w:val="24"/>
        </w:rPr>
        <w:t xml:space="preserve">. 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</w:t>
      </w:r>
      <w:r>
        <w:rPr>
          <w:sz w:val="24"/>
          <w:szCs w:val="24"/>
        </w:rPr>
        <w:t>силу с 01.01.2023 г.</w:t>
      </w:r>
      <w:r w:rsidRPr="008B2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 не ранее дня, </w:t>
      </w:r>
      <w:r w:rsidRPr="008B2B97">
        <w:rPr>
          <w:sz w:val="24"/>
          <w:szCs w:val="24"/>
        </w:rPr>
        <w:t>следующ</w:t>
      </w:r>
      <w:r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>
        <w:rPr>
          <w:sz w:val="24"/>
          <w:szCs w:val="24"/>
        </w:rPr>
        <w:t xml:space="preserve"> в газете «Бородинский вестник.</w:t>
      </w:r>
      <w:r w:rsidRPr="008B2B97">
        <w:rPr>
          <w:sz w:val="24"/>
          <w:szCs w:val="24"/>
        </w:rPr>
        <w:t xml:space="preserve"> </w:t>
      </w: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B2B97">
        <w:rPr>
          <w:sz w:val="24"/>
          <w:szCs w:val="24"/>
        </w:rPr>
        <w:t xml:space="preserve">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Савельева</w:t>
      </w:r>
    </w:p>
    <w:p w:rsidR="00EA342E" w:rsidRPr="008B2B97" w:rsidRDefault="00EA342E" w:rsidP="00EA3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EA342E" w:rsidRPr="00FA14FF" w:rsidRDefault="00EA342E" w:rsidP="00EA34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EA342E" w:rsidRDefault="00CD452B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</w:t>
      </w:r>
      <w:r w:rsidR="00240632">
        <w:rPr>
          <w:rFonts w:ascii="Arial" w:hAnsi="Arial" w:cs="Arial"/>
          <w:bCs/>
          <w:sz w:val="24"/>
          <w:szCs w:val="24"/>
        </w:rPr>
        <w:t xml:space="preserve"> </w:t>
      </w:r>
      <w:r w:rsidR="0072004A">
        <w:rPr>
          <w:rFonts w:ascii="Arial" w:hAnsi="Arial" w:cs="Arial"/>
          <w:bCs/>
          <w:sz w:val="24"/>
          <w:szCs w:val="24"/>
        </w:rPr>
        <w:t>20.03.</w:t>
      </w:r>
      <w:r w:rsidR="00026936">
        <w:rPr>
          <w:rFonts w:ascii="Arial" w:hAnsi="Arial" w:cs="Arial"/>
          <w:bCs/>
          <w:sz w:val="24"/>
          <w:szCs w:val="24"/>
        </w:rPr>
        <w:t>2023</w:t>
      </w:r>
      <w:r w:rsidR="00EA342E" w:rsidRPr="00CD452B">
        <w:rPr>
          <w:rFonts w:ascii="Arial" w:hAnsi="Arial" w:cs="Arial"/>
          <w:bCs/>
          <w:sz w:val="24"/>
          <w:szCs w:val="24"/>
        </w:rPr>
        <w:t xml:space="preserve"> № </w:t>
      </w:r>
      <w:r w:rsidR="0072004A">
        <w:rPr>
          <w:rFonts w:ascii="Arial" w:hAnsi="Arial" w:cs="Arial"/>
          <w:bCs/>
          <w:sz w:val="24"/>
          <w:szCs w:val="24"/>
        </w:rPr>
        <w:t>118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52 616 770,71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>В 2016 и 2017, 2018, 2019 и 2020, 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</w:t>
      </w:r>
      <w:r w:rsidRPr="000530CB">
        <w:rPr>
          <w:rFonts w:ascii="Arial" w:hAnsi="Arial" w:cs="Arial"/>
          <w:sz w:val="24"/>
          <w:szCs w:val="24"/>
        </w:rPr>
        <w:lastRenderedPageBreak/>
        <w:t>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В 2022 году студентов поступивших на факультеты журналистики и проходящих производственную практику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вестник»»,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 xml:space="preserve">аспоряжение администрации города Бородино от 19.10.2020 г. № 689 </w:t>
      </w:r>
      <w:r w:rsidRPr="008B5166">
        <w:rPr>
          <w:rFonts w:ascii="Arial" w:hAnsi="Arial" w:cs="Arial"/>
          <w:color w:val="000000"/>
          <w:sz w:val="24"/>
          <w:szCs w:val="24"/>
        </w:rPr>
        <w:lastRenderedPageBreak/>
        <w:t>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Бородино информационной открытостью органов местного самоуправления (% от числа опрошенных) </w:t>
      </w:r>
      <w:r w:rsidR="00674A46" w:rsidRPr="00674A46">
        <w:rPr>
          <w:rFonts w:ascii="Arial" w:hAnsi="Arial" w:cs="Arial"/>
          <w:sz w:val="24"/>
          <w:szCs w:val="24"/>
        </w:rPr>
        <w:t xml:space="preserve">на </w:t>
      </w:r>
      <w:r w:rsidR="00674A46" w:rsidRPr="00CD452B">
        <w:rPr>
          <w:rFonts w:ascii="Arial" w:hAnsi="Arial" w:cs="Arial"/>
          <w:sz w:val="24"/>
          <w:szCs w:val="24"/>
        </w:rPr>
        <w:t xml:space="preserve">уровне </w:t>
      </w:r>
      <w:r w:rsidR="00C35CAC">
        <w:rPr>
          <w:rFonts w:ascii="Arial" w:hAnsi="Arial" w:cs="Arial"/>
          <w:sz w:val="24"/>
          <w:szCs w:val="24"/>
        </w:rPr>
        <w:t>97,14</w:t>
      </w:r>
      <w:r w:rsidR="00674A46" w:rsidRPr="00CD452B">
        <w:rPr>
          <w:rFonts w:ascii="Arial" w:hAnsi="Arial" w:cs="Arial"/>
          <w:sz w:val="24"/>
          <w:szCs w:val="24"/>
        </w:rPr>
        <w:t xml:space="preserve"> % к 2025</w:t>
      </w:r>
      <w:r w:rsidRPr="00CD452B">
        <w:rPr>
          <w:rFonts w:ascii="Arial" w:hAnsi="Arial" w:cs="Arial"/>
          <w:sz w:val="24"/>
          <w:szCs w:val="24"/>
        </w:rPr>
        <w:t xml:space="preserve"> году: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200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Pr="00674A46">
        <w:rPr>
          <w:rFonts w:ascii="Arial" w:hAnsi="Arial" w:cs="Arial"/>
          <w:sz w:val="24"/>
          <w:szCs w:val="24"/>
        </w:rPr>
        <w:t>280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A342E" w:rsidRPr="000530CB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3A756E" w:rsidRPr="0072004A">
        <w:rPr>
          <w:rFonts w:ascii="Arial" w:hAnsi="Arial" w:cs="Arial"/>
          <w:sz w:val="24"/>
          <w:szCs w:val="24"/>
          <w:lang w:eastAsia="ar-SA"/>
        </w:rPr>
        <w:t>52 6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16 770,71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>6 279 479,32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417C5C" w:rsidRDefault="00417C5C" w:rsidP="00417C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D0401" w:rsidRDefault="009D0401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F0D" w:rsidRDefault="00366B97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366B97" w:rsidRPr="000530CB" w:rsidRDefault="00366B97" w:rsidP="00366B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4"/>
        <w:gridCol w:w="1958"/>
        <w:gridCol w:w="1816"/>
        <w:gridCol w:w="836"/>
        <w:gridCol w:w="696"/>
        <w:gridCol w:w="1395"/>
        <w:gridCol w:w="705"/>
        <w:gridCol w:w="1535"/>
        <w:gridCol w:w="1535"/>
        <w:gridCol w:w="1535"/>
        <w:gridCol w:w="1679"/>
      </w:tblGrid>
      <w:tr w:rsidR="000A2F0D" w:rsidRPr="000530CB" w:rsidTr="00EE52B4">
        <w:trPr>
          <w:trHeight w:val="641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0A2F0D" w:rsidRPr="000530CB" w:rsidTr="00EE52B4">
        <w:trPr>
          <w:trHeight w:val="214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2C04BB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EE52B4" w:rsidRPr="000530CB" w:rsidTr="007C4B6E">
        <w:trPr>
          <w:trHeight w:val="47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EE52B4" w:rsidRPr="008A46DB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EE52B4" w:rsidRPr="001D6947" w:rsidRDefault="00EE52B4" w:rsidP="00EE5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7C4B6E" w:rsidRPr="000530CB" w:rsidTr="00AD0FCA">
        <w:trPr>
          <w:trHeight w:val="337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1 310092010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10 958 086,80</w:t>
            </w:r>
          </w:p>
        </w:tc>
      </w:tr>
      <w:tr w:rsidR="007C4B6E" w:rsidRPr="000530CB" w:rsidTr="007C4B6E">
        <w:trPr>
          <w:trHeight w:val="37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3 309 342,21</w:t>
            </w:r>
          </w:p>
        </w:tc>
      </w:tr>
      <w:tr w:rsidR="007C4B6E" w:rsidRPr="000530CB" w:rsidTr="007C4B6E">
        <w:trPr>
          <w:trHeight w:val="38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4 318 635,93</w:t>
            </w:r>
          </w:p>
        </w:tc>
      </w:tr>
      <w:tr w:rsidR="007C4B6E" w:rsidRPr="000530CB" w:rsidTr="007C4B6E">
        <w:trPr>
          <w:trHeight w:val="32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252 373,02</w:t>
            </w:r>
          </w:p>
        </w:tc>
      </w:tr>
    </w:tbl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ac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FA14FF" w:rsidRPr="00FA14FF" w:rsidTr="00C43F40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C5058B" w:rsidRDefault="00C5058B" w:rsidP="00C50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227B" w:rsidRDefault="008D227B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A14FF" w:rsidRPr="00FA14FF" w:rsidRDefault="00FA14FF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14FF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FA14FF" w:rsidRPr="00FA14FF" w:rsidRDefault="00FC342E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Паспорту муниципальной программы</w:t>
            </w:r>
            <w:r w:rsidR="00FA14FF" w:rsidRPr="00FA14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14FF" w:rsidRPr="00FA14FF" w:rsidRDefault="009D0DEF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FA14FF" w:rsidRPr="00FA14FF">
              <w:rPr>
                <w:rFonts w:ascii="Arial" w:hAnsi="Arial" w:cs="Arial"/>
                <w:sz w:val="24"/>
                <w:szCs w:val="24"/>
              </w:rPr>
              <w:t>Содействие развитию гражданс</w:t>
            </w:r>
            <w:r>
              <w:rPr>
                <w:rFonts w:ascii="Arial" w:hAnsi="Arial" w:cs="Arial"/>
                <w:sz w:val="24"/>
                <w:szCs w:val="24"/>
              </w:rPr>
              <w:t>кого общества в городе Бородино»</w:t>
            </w:r>
          </w:p>
          <w:p w:rsidR="00FA14FF" w:rsidRPr="00FA14FF" w:rsidRDefault="00FA14FF" w:rsidP="00FA1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5F1B" w:rsidRDefault="00555F1B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F1B" w:rsidRDefault="00555F1B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A14FF" w:rsidRPr="00FA14FF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FA14FF" w:rsidRDefault="009D0DEF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FA14FF" w:rsidRPr="00FA14FF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кого общества в городе Бородино»</w:t>
            </w:r>
            <w:r w:rsidR="00FA14FF" w:rsidRPr="00FA14F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555F1B" w:rsidRDefault="00555F1B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F1B" w:rsidRPr="00FA14FF" w:rsidRDefault="00555F1B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4FF" w:rsidRPr="00FA14FF" w:rsidTr="00C43F40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A14FF" w:rsidRPr="00FA14FF" w:rsidTr="00C43F40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959A1" w:rsidRDefault="000959A1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FA14FF" w:rsidRPr="00C13A9C" w:rsidRDefault="00FA14FF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60757B" w:rsidRPr="00FA14FF" w:rsidTr="00C43F40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60757B" w:rsidRPr="00FA14FF" w:rsidTr="00C43F40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57B" w:rsidRPr="00FA14FF" w:rsidTr="00C43F40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60757B" w:rsidRPr="00FA14FF" w:rsidTr="00C43F40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FA14FF" w:rsidRPr="00FA14FF" w:rsidRDefault="00FA14FF" w:rsidP="00FA14FF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2693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0632"/>
    <w:rsid w:val="0024338B"/>
    <w:rsid w:val="0024570C"/>
    <w:rsid w:val="00250D32"/>
    <w:rsid w:val="00257905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15E31"/>
    <w:rsid w:val="00316553"/>
    <w:rsid w:val="00322888"/>
    <w:rsid w:val="00327D6F"/>
    <w:rsid w:val="0033069C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521975"/>
    <w:rsid w:val="00521DA1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B6189"/>
    <w:rsid w:val="006C15E4"/>
    <w:rsid w:val="006D01B4"/>
    <w:rsid w:val="006D5AF9"/>
    <w:rsid w:val="006E25CE"/>
    <w:rsid w:val="006E5226"/>
    <w:rsid w:val="006F360E"/>
    <w:rsid w:val="007125BE"/>
    <w:rsid w:val="0072004A"/>
    <w:rsid w:val="007343AB"/>
    <w:rsid w:val="0074071B"/>
    <w:rsid w:val="00747709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B0546"/>
    <w:rsid w:val="009D0401"/>
    <w:rsid w:val="009D0DEF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647DD"/>
    <w:rsid w:val="00A6757A"/>
    <w:rsid w:val="00A743DF"/>
    <w:rsid w:val="00A91C7E"/>
    <w:rsid w:val="00A936BE"/>
    <w:rsid w:val="00A96ACE"/>
    <w:rsid w:val="00AA1451"/>
    <w:rsid w:val="00AA1B72"/>
    <w:rsid w:val="00AA48A4"/>
    <w:rsid w:val="00AD0FCA"/>
    <w:rsid w:val="00AD45AA"/>
    <w:rsid w:val="00AF0129"/>
    <w:rsid w:val="00AF5B09"/>
    <w:rsid w:val="00B00867"/>
    <w:rsid w:val="00B2209A"/>
    <w:rsid w:val="00B3331A"/>
    <w:rsid w:val="00B50FA4"/>
    <w:rsid w:val="00B637FE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C04F11"/>
    <w:rsid w:val="00C13A9C"/>
    <w:rsid w:val="00C22734"/>
    <w:rsid w:val="00C26DC1"/>
    <w:rsid w:val="00C35494"/>
    <w:rsid w:val="00C35CAC"/>
    <w:rsid w:val="00C41E9C"/>
    <w:rsid w:val="00C43F40"/>
    <w:rsid w:val="00C47CB4"/>
    <w:rsid w:val="00C5058B"/>
    <w:rsid w:val="00C528AB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53111"/>
    <w:rsid w:val="00D73CCC"/>
    <w:rsid w:val="00DA10A1"/>
    <w:rsid w:val="00DA4A77"/>
    <w:rsid w:val="00DC71FA"/>
    <w:rsid w:val="00DC7E57"/>
    <w:rsid w:val="00DD2412"/>
    <w:rsid w:val="00DE58F3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DE0F-492F-4FEA-AA22-D88DA8D3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10159</TotalTime>
  <Pages>20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150</cp:revision>
  <cp:lastPrinted>2023-03-20T09:27:00Z</cp:lastPrinted>
  <dcterms:created xsi:type="dcterms:W3CDTF">2020-09-17T06:54:00Z</dcterms:created>
  <dcterms:modified xsi:type="dcterms:W3CDTF">2023-03-20T09:27:00Z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