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1115E7" w:rsidRPr="001115E7" w:rsidRDefault="00AE7D8A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DC23BE">
        <w:rPr>
          <w:rFonts w:ascii="Times New Roman" w:hAnsi="Times New Roman"/>
          <w:bCs/>
          <w:sz w:val="24"/>
          <w:szCs w:val="24"/>
        </w:rPr>
        <w:t xml:space="preserve"> </w:t>
      </w:r>
      <w:r w:rsidR="00724BC0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F4B2B" w:rsidRPr="00C732DB">
        <w:rPr>
          <w:rFonts w:ascii="Times New Roman" w:hAnsi="Times New Roman"/>
          <w:b/>
          <w:sz w:val="24"/>
          <w:szCs w:val="24"/>
        </w:rPr>
        <w:t xml:space="preserve"> </w:t>
      </w:r>
      <w:hyperlink r:id="rId8" w:history="1">
        <w:r w:rsidR="00BF4B2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</w:t>
        </w:r>
      </w:hyperlink>
      <w:r w:rsidR="00DC23BE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4</w:t>
      </w:r>
      <w:proofErr w:type="gramEnd"/>
    </w:p>
    <w:p w:rsidR="00DC23BE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DC23BE" w:rsidRDefault="00DC23BE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5E7" w:rsidRDefault="00794170" w:rsidP="00DC23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BF4B2B" w:rsidRDefault="002E314B" w:rsidP="00BF4B2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BF4B2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553C95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6A26D2" w:rsidRPr="00C732DB">
        <w:rPr>
          <w:rFonts w:ascii="Times New Roman" w:hAnsi="Times New Roman"/>
          <w:b/>
          <w:sz w:val="24"/>
          <w:szCs w:val="24"/>
        </w:rPr>
        <w:t xml:space="preserve"> </w:t>
      </w:r>
      <w:hyperlink r:id="rId9" w:history="1">
        <w:r w:rsidR="00BF4B2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031930008712300002</w:t>
        </w:r>
      </w:hyperlink>
      <w:r w:rsidR="00DC23BE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4</w:t>
      </w:r>
      <w:r w:rsidR="00553C95">
        <w:rPr>
          <w:rFonts w:ascii="Times New Roman" w:hAnsi="Times New Roman"/>
          <w:b/>
          <w:sz w:val="24"/>
          <w:szCs w:val="24"/>
        </w:rPr>
        <w:t xml:space="preserve"> </w:t>
      </w:r>
      <w:r w:rsidR="00BF4B2B" w:rsidRPr="00B66A17">
        <w:rPr>
          <w:rFonts w:ascii="Times New Roman" w:hAnsi="Times New Roman"/>
          <w:sz w:val="24"/>
          <w:szCs w:val="24"/>
        </w:rPr>
        <w:t>электронны</w:t>
      </w:r>
      <w:r w:rsidR="00BF4B2B">
        <w:rPr>
          <w:rFonts w:ascii="Times New Roman" w:hAnsi="Times New Roman"/>
          <w:sz w:val="24"/>
          <w:szCs w:val="24"/>
        </w:rPr>
        <w:t>й</w:t>
      </w:r>
      <w:r w:rsidR="00BF4B2B"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 w:rsidR="00BF4B2B">
        <w:rPr>
          <w:rFonts w:ascii="Times New Roman" w:hAnsi="Times New Roman"/>
          <w:sz w:val="24"/>
          <w:szCs w:val="24"/>
        </w:rPr>
        <w:t xml:space="preserve">(п. 1 ч.1 ст. 52 </w:t>
      </w:r>
      <w:r w:rsidR="00BF4B2B" w:rsidRPr="00B66A17">
        <w:rPr>
          <w:rFonts w:ascii="Times New Roman" w:hAnsi="Times New Roman"/>
          <w:sz w:val="24"/>
          <w:szCs w:val="24"/>
        </w:rPr>
        <w:t>Федерального закона от 05.04.2013г. № 44-ФЗ</w:t>
      </w:r>
      <w:r w:rsidR="00BF4B2B">
        <w:rPr>
          <w:rFonts w:ascii="Times New Roman" w:hAnsi="Times New Roman"/>
          <w:sz w:val="24"/>
          <w:szCs w:val="24"/>
        </w:rPr>
        <w:t xml:space="preserve">). Контракт будет заключен не ранее чем через 10 дней с момента </w:t>
      </w:r>
      <w:proofErr w:type="gramStart"/>
      <w:r w:rsidR="00BF4B2B">
        <w:rPr>
          <w:rFonts w:ascii="Times New Roman" w:hAnsi="Times New Roman"/>
          <w:sz w:val="24"/>
          <w:szCs w:val="24"/>
        </w:rPr>
        <w:t>опубликования протокола подведения итогов определения поставщика</w:t>
      </w:r>
      <w:proofErr w:type="gramEnd"/>
      <w:r w:rsidR="00BF4B2B">
        <w:rPr>
          <w:rFonts w:ascii="Times New Roman" w:hAnsi="Times New Roman"/>
          <w:sz w:val="24"/>
          <w:szCs w:val="24"/>
        </w:rPr>
        <w:t xml:space="preserve"> на сумму 1 300 000,00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C23BE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82769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08276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AC5FC-46A9-47B9-A9B8-054CBA4A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57</cp:revision>
  <cp:lastPrinted>2016-04-15T04:19:00Z</cp:lastPrinted>
  <dcterms:created xsi:type="dcterms:W3CDTF">2014-03-26T08:07:00Z</dcterms:created>
  <dcterms:modified xsi:type="dcterms:W3CDTF">2023-11-24T07:14:00Z</dcterms:modified>
</cp:coreProperties>
</file>