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53CDA552"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700FF9">
        <w:rPr>
          <w:rFonts w:ascii="Times New Roman" w:hAnsi="Times New Roman"/>
          <w:b/>
          <w:bCs/>
          <w:sz w:val="24"/>
          <w:szCs w:val="24"/>
        </w:rPr>
        <w:t xml:space="preserve"> </w:t>
      </w:r>
      <w:r w:rsidR="00B848AF" w:rsidRPr="00B848AF">
        <w:rPr>
          <w:rFonts w:ascii="Times New Roman" w:hAnsi="Times New Roman"/>
          <w:b/>
          <w:bCs/>
          <w:sz w:val="24"/>
          <w:szCs w:val="24"/>
        </w:rPr>
        <w:t>№ 22000196890000000040</w:t>
      </w:r>
      <w:bookmarkStart w:id="0" w:name="_GoBack"/>
      <w:bookmarkEnd w:id="0"/>
    </w:p>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6CF510DA"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BA4448">
        <w:rPr>
          <w:rFonts w:ascii="Times New Roman" w:eastAsia="Arial Unicode MS" w:hAnsi="Times New Roman"/>
          <w:sz w:val="24"/>
          <w:szCs w:val="24"/>
          <w:lang w:eastAsia="ru-RU"/>
        </w:rPr>
        <w:t>13</w:t>
      </w:r>
      <w:r w:rsidRPr="00420759">
        <w:rPr>
          <w:rFonts w:ascii="Times New Roman" w:eastAsia="Arial Unicode MS" w:hAnsi="Times New Roman"/>
          <w:sz w:val="24"/>
          <w:szCs w:val="24"/>
          <w:lang w:eastAsia="ru-RU"/>
        </w:rPr>
        <w:t xml:space="preserve"> от </w:t>
      </w:r>
      <w:r w:rsidR="00BA4448">
        <w:rPr>
          <w:rFonts w:ascii="Times New Roman" w:eastAsia="Arial Unicode MS" w:hAnsi="Times New Roman"/>
          <w:sz w:val="24"/>
          <w:szCs w:val="24"/>
          <w:lang w:eastAsia="ru-RU"/>
        </w:rPr>
        <w:t>27.01.2025</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149B39CC"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xml:space="preserve">: Земельный участок, государственная собственность на который не разграничена, категория земель «Земли населенных пунктов», кадастровый номером </w:t>
      </w:r>
      <w:r w:rsidR="005F7FBC" w:rsidRPr="005F7FBC">
        <w:rPr>
          <w:rFonts w:ascii="Times New Roman" w:eastAsia="Times New Roman" w:hAnsi="Times New Roman"/>
          <w:b/>
          <w:sz w:val="24"/>
          <w:szCs w:val="24"/>
          <w:lang w:eastAsia="ar-SA"/>
        </w:rPr>
        <w:t>24:45:</w:t>
      </w:r>
      <w:r w:rsidR="00BA4448">
        <w:rPr>
          <w:rFonts w:ascii="Times New Roman" w:eastAsia="Times New Roman" w:hAnsi="Times New Roman"/>
          <w:b/>
          <w:sz w:val="24"/>
          <w:szCs w:val="24"/>
          <w:lang w:eastAsia="ar-SA"/>
        </w:rPr>
        <w:t>0115012</w:t>
      </w:r>
      <w:r w:rsidR="008E58F4">
        <w:rPr>
          <w:rFonts w:ascii="Times New Roman" w:eastAsia="Times New Roman" w:hAnsi="Times New Roman"/>
          <w:b/>
          <w:sz w:val="24"/>
          <w:szCs w:val="24"/>
          <w:lang w:eastAsia="ar-SA"/>
        </w:rPr>
        <w:t>:</w:t>
      </w:r>
      <w:r w:rsidR="00BA4448">
        <w:rPr>
          <w:rFonts w:ascii="Times New Roman" w:eastAsia="Times New Roman" w:hAnsi="Times New Roman"/>
          <w:b/>
          <w:sz w:val="24"/>
          <w:szCs w:val="24"/>
          <w:lang w:eastAsia="ar-SA"/>
        </w:rPr>
        <w:t>248</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BA4448">
        <w:rPr>
          <w:rFonts w:ascii="Times New Roman" w:eastAsia="Times New Roman" w:hAnsi="Times New Roman"/>
          <w:b/>
          <w:sz w:val="24"/>
          <w:szCs w:val="24"/>
          <w:lang w:eastAsia="ar-SA"/>
        </w:rPr>
        <w:t>1486</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w:t>
      </w:r>
      <w:r w:rsidR="00BA4448" w:rsidRPr="00BA4448">
        <w:rPr>
          <w:rFonts w:ascii="Times New Roman" w:eastAsia="Times New Roman" w:hAnsi="Times New Roman"/>
          <w:b/>
          <w:sz w:val="24"/>
          <w:szCs w:val="24"/>
          <w:lang w:eastAsia="ar-SA"/>
        </w:rPr>
        <w:t>Российская Федерация, Красноярский край, городской округ город Бородино, город Бородино, улица Транспортная, земельный участок 22В</w:t>
      </w:r>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BA4448" w:rsidRPr="00BA4448">
        <w:rPr>
          <w:rFonts w:ascii="Times New Roman" w:eastAsia="Times New Roman" w:hAnsi="Times New Roman"/>
          <w:b/>
          <w:sz w:val="24"/>
          <w:szCs w:val="24"/>
          <w:lang w:eastAsia="ar-SA"/>
        </w:rPr>
        <w:t>обслуживание (код 4.9) в части размещения автостоянок, гаражей</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3694E111"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BA4448">
        <w:rPr>
          <w:rFonts w:ascii="Times New Roman" w:eastAsia="Times New Roman" w:hAnsi="Times New Roman"/>
          <w:b/>
          <w:sz w:val="24"/>
          <w:szCs w:val="24"/>
          <w:lang w:eastAsia="ar-SA"/>
        </w:rPr>
        <w:t xml:space="preserve">96130,23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D076818"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F372D0">
        <w:rPr>
          <w:rFonts w:ascii="Times New Roman" w:eastAsia="Times New Roman" w:hAnsi="Times New Roman"/>
          <w:b/>
          <w:sz w:val="24"/>
          <w:szCs w:val="24"/>
          <w:lang w:eastAsia="ar-SA"/>
        </w:rPr>
        <w:t>3 года</w:t>
      </w:r>
      <w:r w:rsidRPr="006B4624">
        <w:rPr>
          <w:rFonts w:ascii="Times New Roman" w:eastAsia="Times New Roman" w:hAnsi="Times New Roman"/>
          <w:sz w:val="24"/>
          <w:szCs w:val="24"/>
          <w:lang w:eastAsia="ar-SA"/>
        </w:rPr>
        <w:t>.</w:t>
      </w:r>
    </w:p>
    <w:p w14:paraId="35FDD8BD" w14:textId="5BBFCE2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BA4448">
        <w:rPr>
          <w:rFonts w:ascii="Times New Roman" w:eastAsia="Times New Roman" w:hAnsi="Times New Roman"/>
          <w:b/>
          <w:sz w:val="24"/>
          <w:szCs w:val="24"/>
          <w:lang w:eastAsia="ar-SA"/>
        </w:rPr>
        <w:t>2883,90</w:t>
      </w:r>
      <w:r w:rsidRPr="0038778F">
        <w:rPr>
          <w:rFonts w:ascii="Times New Roman" w:eastAsia="Times New Roman" w:hAnsi="Times New Roman"/>
          <w:b/>
          <w:sz w:val="24"/>
          <w:szCs w:val="24"/>
          <w:lang w:eastAsia="ar-SA"/>
        </w:rPr>
        <w:t xml:space="preserve"> руб.</w:t>
      </w:r>
    </w:p>
    <w:p w14:paraId="66708FF8" w14:textId="0DD2E7D3"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BA4448">
        <w:rPr>
          <w:rFonts w:ascii="Times New Roman" w:eastAsia="Times New Roman" w:hAnsi="Times New Roman"/>
          <w:b/>
          <w:sz w:val="24"/>
          <w:szCs w:val="24"/>
          <w:lang w:eastAsia="ar-SA"/>
        </w:rPr>
        <w:t>19226,05</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1611CA6C"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79307C">
        <w:rPr>
          <w:rFonts w:ascii="Times New Roman" w:eastAsia="Times New Roman" w:hAnsi="Times New Roman"/>
          <w:sz w:val="24"/>
          <w:szCs w:val="24"/>
          <w:lang w:eastAsia="ar-SA"/>
        </w:rPr>
        <w:t>нет</w:t>
      </w:r>
      <w:r w:rsidR="00CF6C85">
        <w:rPr>
          <w:rFonts w:ascii="Times New Roman" w:eastAsia="Times New Roman" w:hAnsi="Times New Roman"/>
          <w:sz w:val="24"/>
          <w:szCs w:val="24"/>
          <w:lang w:eastAsia="ar-SA"/>
        </w:rPr>
        <w:t>.</w:t>
      </w:r>
    </w:p>
    <w:p w14:paraId="0E514E08" w14:textId="383D520E" w:rsidR="00594ABC" w:rsidRDefault="006C71B1" w:rsidP="002B0210">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З</w:t>
      </w:r>
      <w:r w:rsidR="003C3D7A">
        <w:rPr>
          <w:rFonts w:ascii="Times New Roman" w:eastAsia="Times New Roman" w:hAnsi="Times New Roman"/>
          <w:bCs/>
          <w:sz w:val="24"/>
          <w:szCs w:val="24"/>
          <w:lang w:eastAsia="ar-SA"/>
        </w:rPr>
        <w:t>емельн</w:t>
      </w:r>
      <w:r>
        <w:rPr>
          <w:rFonts w:ascii="Times New Roman" w:eastAsia="Times New Roman" w:hAnsi="Times New Roman"/>
          <w:bCs/>
          <w:sz w:val="24"/>
          <w:szCs w:val="24"/>
          <w:lang w:eastAsia="ar-SA"/>
        </w:rPr>
        <w:t xml:space="preserve">ый </w:t>
      </w:r>
      <w:r w:rsidR="003C3D7A">
        <w:rPr>
          <w:rFonts w:ascii="Times New Roman" w:eastAsia="Times New Roman" w:hAnsi="Times New Roman"/>
          <w:bCs/>
          <w:sz w:val="24"/>
          <w:szCs w:val="24"/>
          <w:lang w:eastAsia="ar-SA"/>
        </w:rPr>
        <w:t>участ</w:t>
      </w:r>
      <w:r>
        <w:rPr>
          <w:rFonts w:ascii="Times New Roman" w:eastAsia="Times New Roman" w:hAnsi="Times New Roman"/>
          <w:bCs/>
          <w:sz w:val="24"/>
          <w:szCs w:val="24"/>
          <w:lang w:eastAsia="ar-SA"/>
        </w:rPr>
        <w:t>ок</w:t>
      </w:r>
      <w:r w:rsidR="003C3D7A">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предназначен для</w:t>
      </w:r>
      <w:r w:rsidR="003C3D7A">
        <w:rPr>
          <w:rFonts w:ascii="Times New Roman" w:eastAsia="Times New Roman" w:hAnsi="Times New Roman"/>
          <w:bCs/>
          <w:sz w:val="24"/>
          <w:szCs w:val="24"/>
          <w:lang w:eastAsia="ar-SA"/>
        </w:rPr>
        <w:t xml:space="preserve"> </w:t>
      </w:r>
      <w:r w:rsidR="008E58F4">
        <w:rPr>
          <w:rFonts w:ascii="Times New Roman" w:eastAsia="Times New Roman" w:hAnsi="Times New Roman"/>
          <w:bCs/>
          <w:sz w:val="24"/>
          <w:szCs w:val="24"/>
          <w:lang w:eastAsia="ar-SA"/>
        </w:rPr>
        <w:t>строительства индивидуального жилого дома</w:t>
      </w:r>
      <w:r>
        <w:rPr>
          <w:rFonts w:ascii="Times New Roman" w:eastAsia="Times New Roman" w:hAnsi="Times New Roman"/>
          <w:bCs/>
          <w:sz w:val="24"/>
          <w:szCs w:val="24"/>
          <w:lang w:eastAsia="ar-SA"/>
        </w:rPr>
        <w:t>.</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3B9080E0" w14:textId="77777777" w:rsidR="00FB0D11" w:rsidRDefault="00FB0D11" w:rsidP="00594ABC">
      <w:pPr>
        <w:suppressAutoHyphens/>
        <w:spacing w:after="0" w:line="240" w:lineRule="auto"/>
        <w:ind w:firstLine="567"/>
        <w:jc w:val="both"/>
        <w:rPr>
          <w:rFonts w:ascii="Times New Roman" w:eastAsia="Times New Roman" w:hAnsi="Times New Roman"/>
          <w:bCs/>
          <w:sz w:val="24"/>
          <w:szCs w:val="24"/>
          <w:lang w:eastAsia="ar-SA"/>
        </w:rPr>
      </w:pPr>
    </w:p>
    <w:p w14:paraId="56F23C9F" w14:textId="6044EF91" w:rsidR="006B4624" w:rsidRPr="006B4624" w:rsidRDefault="00594ABC" w:rsidP="006B4624">
      <w:pPr>
        <w:suppressAutoHyphens/>
        <w:spacing w:after="0" w:line="240" w:lineRule="auto"/>
        <w:ind w:firstLine="567"/>
        <w:jc w:val="both"/>
        <w:rPr>
          <w:rFonts w:ascii="Times New Roman" w:eastAsia="Times New Roman" w:hAnsi="Times New Roman"/>
          <w:sz w:val="24"/>
          <w:szCs w:val="24"/>
          <w:lang w:eastAsia="ar-SA"/>
        </w:rPr>
      </w:pPr>
      <w:r w:rsidRPr="00594ABC">
        <w:rPr>
          <w:rFonts w:ascii="Times New Roman" w:eastAsia="Times New Roman" w:hAnsi="Times New Roman"/>
          <w:bCs/>
          <w:sz w:val="24"/>
          <w:szCs w:val="24"/>
          <w:lang w:eastAsia="ar-SA"/>
        </w:rPr>
        <w:t xml:space="preserve"> </w:t>
      </w:r>
      <w:r w:rsidR="006B4624"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77740168"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BA4448">
        <w:rPr>
          <w:rFonts w:ascii="Times New Roman" w:eastAsia="Times New Roman" w:hAnsi="Times New Roman"/>
          <w:b/>
          <w:sz w:val="24"/>
          <w:szCs w:val="24"/>
          <w:lang w:eastAsia="ar-SA"/>
        </w:rPr>
        <w:t>28.01.2025</w:t>
      </w:r>
      <w:r w:rsidRPr="006B4624">
        <w:rPr>
          <w:rFonts w:ascii="Times New Roman" w:eastAsia="Times New Roman" w:hAnsi="Times New Roman"/>
          <w:b/>
          <w:sz w:val="24"/>
          <w:szCs w:val="24"/>
          <w:lang w:eastAsia="ar-SA"/>
        </w:rPr>
        <w:t>г. с 0</w:t>
      </w:r>
      <w:r w:rsidR="004F7FF0">
        <w:rPr>
          <w:rFonts w:ascii="Times New Roman" w:eastAsia="Times New Roman" w:hAnsi="Times New Roman"/>
          <w:b/>
          <w:sz w:val="24"/>
          <w:szCs w:val="24"/>
          <w:lang w:eastAsia="ar-SA"/>
        </w:rPr>
        <w:t>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5E7956D4"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BA4448">
        <w:rPr>
          <w:rFonts w:ascii="Times New Roman" w:eastAsia="Times New Roman" w:hAnsi="Times New Roman"/>
          <w:b/>
          <w:sz w:val="24"/>
          <w:szCs w:val="24"/>
          <w:lang w:eastAsia="ar-SA"/>
        </w:rPr>
        <w:t>03.03.2025</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6297458D"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BA4448">
        <w:rPr>
          <w:rFonts w:ascii="Times New Roman" w:eastAsia="Times New Roman" w:hAnsi="Times New Roman"/>
          <w:b/>
          <w:sz w:val="24"/>
          <w:szCs w:val="24"/>
          <w:lang w:eastAsia="ar-SA"/>
        </w:rPr>
        <w:t>03.03</w:t>
      </w:r>
      <w:r w:rsidR="008E58F4">
        <w:rPr>
          <w:rFonts w:ascii="Times New Roman" w:eastAsia="Times New Roman" w:hAnsi="Times New Roman"/>
          <w:b/>
          <w:sz w:val="24"/>
          <w:szCs w:val="24"/>
          <w:lang w:eastAsia="ar-SA"/>
        </w:rPr>
        <w:t>.2025</w:t>
      </w:r>
      <w:r w:rsidR="00CB5100">
        <w:rPr>
          <w:rFonts w:ascii="Times New Roman" w:eastAsia="Times New Roman" w:hAnsi="Times New Roman"/>
          <w:b/>
          <w:sz w:val="24"/>
          <w:szCs w:val="24"/>
          <w:lang w:eastAsia="ar-SA"/>
        </w:rPr>
        <w:t>г</w:t>
      </w:r>
      <w:r w:rsidRPr="006B4624">
        <w:rPr>
          <w:rFonts w:ascii="Times New Roman" w:eastAsia="Times New Roman" w:hAnsi="Times New Roman"/>
          <w:b/>
          <w:sz w:val="24"/>
          <w:szCs w:val="24"/>
          <w:lang w:eastAsia="ar-SA"/>
        </w:rPr>
        <w:t>.</w:t>
      </w:r>
    </w:p>
    <w:p w14:paraId="111063B0" w14:textId="3A9A006E"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BA4448">
        <w:rPr>
          <w:rFonts w:ascii="Times New Roman" w:eastAsia="Times New Roman" w:hAnsi="Times New Roman"/>
          <w:b/>
          <w:bCs/>
          <w:sz w:val="24"/>
          <w:szCs w:val="24"/>
          <w:lang w:eastAsia="ar-SA"/>
        </w:rPr>
        <w:t>04.03</w:t>
      </w:r>
      <w:r w:rsidR="008E58F4">
        <w:rPr>
          <w:rFonts w:ascii="Times New Roman" w:eastAsia="Times New Roman" w:hAnsi="Times New Roman"/>
          <w:b/>
          <w:bCs/>
          <w:sz w:val="24"/>
          <w:szCs w:val="24"/>
          <w:lang w:eastAsia="ar-SA"/>
        </w:rPr>
        <w:t>.2025</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5A13DFDA"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8E58F4">
        <w:rPr>
          <w:rFonts w:ascii="Times New Roman" w:eastAsia="Times New Roman" w:hAnsi="Times New Roman"/>
          <w:sz w:val="24"/>
          <w:szCs w:val="24"/>
          <w:lang w:eastAsia="ar-SA"/>
        </w:rPr>
        <w:t>1200</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F372D0" w:rsidRPr="00F372D0">
        <w:rPr>
          <w:rFonts w:ascii="Times New Roman" w:eastAsia="Times New Roman" w:hAnsi="Times New Roman"/>
          <w:sz w:val="24"/>
          <w:szCs w:val="24"/>
          <w:lang w:eastAsia="ar-SA"/>
        </w:rPr>
        <w:t>24:45:</w:t>
      </w:r>
      <w:r w:rsidR="008E58F4">
        <w:rPr>
          <w:rFonts w:ascii="Times New Roman" w:eastAsia="Times New Roman" w:hAnsi="Times New Roman"/>
          <w:sz w:val="24"/>
          <w:szCs w:val="24"/>
          <w:lang w:eastAsia="ar-SA"/>
        </w:rPr>
        <w:t>0000000:4196</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61916DB5"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BA4448">
        <w:rPr>
          <w:rFonts w:ascii="Times New Roman" w:hAnsi="Times New Roman"/>
          <w:b/>
          <w:sz w:val="24"/>
          <w:szCs w:val="24"/>
          <w:lang w:eastAsia="ar-SA"/>
        </w:rPr>
        <w:t>03.03</w:t>
      </w:r>
      <w:r w:rsidRPr="006B4624">
        <w:rPr>
          <w:rFonts w:ascii="Times New Roman" w:hAnsi="Times New Roman"/>
          <w:b/>
          <w:sz w:val="24"/>
          <w:szCs w:val="24"/>
          <w:lang w:eastAsia="ar-SA"/>
        </w:rPr>
        <w:t>.202</w:t>
      </w:r>
      <w:r w:rsidR="008E58F4">
        <w:rPr>
          <w:rFonts w:ascii="Times New Roman" w:hAnsi="Times New Roman"/>
          <w:b/>
          <w:sz w:val="24"/>
          <w:szCs w:val="24"/>
          <w:lang w:eastAsia="ar-SA"/>
        </w:rPr>
        <w:t>5</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15EABF90" w:rsidR="006B4624" w:rsidRPr="006B4624" w:rsidRDefault="002B0210" w:rsidP="002B0210">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006B4624" w:rsidRPr="006B4624">
          <w:rPr>
            <w:rFonts w:ascii="Times New Roman" w:eastAsia="Times New Roman" w:hAnsi="Times New Roman"/>
            <w:sz w:val="24"/>
            <w:szCs w:val="24"/>
            <w:lang w:eastAsia="ar-SA"/>
          </w:rPr>
          <w:t>статьей 437</w:t>
        </w:r>
      </w:hyperlink>
      <w:r w:rsidR="006B4624"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12DCD670" w:rsidR="00310A52" w:rsidRDefault="00DE50C4" w:rsidP="00DE50C4">
      <w:pPr>
        <w:tabs>
          <w:tab w:val="left" w:pos="540"/>
        </w:tabs>
        <w:suppressAutoHyphens/>
        <w:spacing w:after="0" w:line="240" w:lineRule="auto"/>
        <w:rPr>
          <w:rFonts w:ascii="Times New Roman" w:eastAsia="Times New Roman" w:hAnsi="Times New Roman"/>
          <w:b/>
          <w:bCs/>
          <w:sz w:val="24"/>
          <w:szCs w:val="24"/>
          <w:lang w:eastAsia="ar-SA"/>
        </w:rPr>
      </w:pPr>
      <w:r>
        <w:rPr>
          <w:rFonts w:ascii="Times New Roman" w:hAnsi="Times New Roman"/>
          <w:b/>
          <w:sz w:val="24"/>
          <w:szCs w:val="24"/>
          <w:lang w:eastAsia="ar-SA"/>
        </w:rPr>
        <w:t xml:space="preserve">      </w:t>
      </w:r>
      <w:r w:rsidR="008B39BA">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5C6482F5" w:rsidR="006B4624" w:rsidRPr="006B4624" w:rsidRDefault="00DE50C4" w:rsidP="00DE50C4">
      <w:pPr>
        <w:tabs>
          <w:tab w:val="left" w:pos="540"/>
        </w:tabs>
        <w:suppressAutoHyphens/>
        <w:spacing w:after="0" w:line="240" w:lineRule="auto"/>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F372D0">
      <w:pPr>
        <w:suppressAutoHyphens/>
        <w:spacing w:after="0" w:line="240" w:lineRule="auto"/>
        <w:ind w:firstLine="426"/>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F372D0">
      <w:pPr>
        <w:suppressAutoHyphens/>
        <w:spacing w:after="0" w:line="240" w:lineRule="auto"/>
        <w:ind w:firstLine="426"/>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F372D0">
      <w:pPr>
        <w:suppressAutoHyphens/>
        <w:spacing w:after="0" w:line="240" w:lineRule="auto"/>
        <w:ind w:firstLine="426"/>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F372D0">
      <w:pPr>
        <w:suppressAutoHyphens/>
        <w:spacing w:after="0" w:line="240" w:lineRule="auto"/>
        <w:ind w:firstLine="426"/>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417B1039" w:rsidR="006B4624" w:rsidRPr="006B4624" w:rsidRDefault="00F372D0" w:rsidP="00F372D0">
      <w:pPr>
        <w:tabs>
          <w:tab w:val="left" w:pos="426"/>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sidR="006B4624" w:rsidRPr="006B4624">
        <w:rPr>
          <w:rFonts w:ascii="Times New Roman" w:eastAsia="Times New Roman" w:hAnsi="Times New Roman"/>
          <w:sz w:val="24"/>
          <w:szCs w:val="24"/>
          <w:lang w:eastAsia="ar-SA"/>
        </w:rPr>
        <w:lastRenderedPageBreak/>
        <w:t>(реестр владельцев акций либо выписка из него или заверенное печатью юридического лица и подписанное его руководителем письмо);</w:t>
      </w:r>
    </w:p>
    <w:p w14:paraId="18021382" w14:textId="292A2A82" w:rsidR="006B4624" w:rsidRPr="006B4624" w:rsidRDefault="00F372D0" w:rsidP="00F372D0">
      <w:pPr>
        <w:tabs>
          <w:tab w:val="left" w:pos="426"/>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F372D0">
      <w:pPr>
        <w:suppressAutoHyphens/>
        <w:spacing w:after="0" w:line="240" w:lineRule="auto"/>
        <w:ind w:firstLine="426"/>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F372D0">
      <w:pPr>
        <w:suppressAutoHyphens/>
        <w:spacing w:after="0" w:line="240" w:lineRule="auto"/>
        <w:ind w:firstLine="426"/>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51AD81DC" w:rsidR="006B4624" w:rsidRPr="006B4624" w:rsidRDefault="00F372D0" w:rsidP="00F372D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085BBD73" w:rsidR="006B4624" w:rsidRPr="006B4624" w:rsidRDefault="00F372D0" w:rsidP="00F372D0">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27FA72A" w:rsidR="006B4624" w:rsidRPr="006B4624" w:rsidRDefault="00F372D0" w:rsidP="00F372D0">
      <w:pPr>
        <w:spacing w:after="0" w:line="240" w:lineRule="auto"/>
        <w:jc w:val="both"/>
        <w:rPr>
          <w:rFonts w:ascii="Times New Roman" w:eastAsia="Times New Roman" w:hAnsi="Times New Roman"/>
          <w:sz w:val="24"/>
          <w:szCs w:val="24"/>
          <w:lang w:eastAsia="ar-SA"/>
        </w:rPr>
      </w:pPr>
      <w:r>
        <w:rPr>
          <w:rFonts w:ascii="Times New Roman" w:hAnsi="Times New Roman"/>
          <w:bCs/>
          <w:sz w:val="24"/>
          <w:szCs w:val="24"/>
          <w:lang w:eastAsia="ar-SA"/>
        </w:rPr>
        <w:t xml:space="preserve">       </w:t>
      </w:r>
      <w:r w:rsidR="008B39BA">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363CCD8D" w:rsidR="006B4624" w:rsidRPr="006B4624" w:rsidRDefault="00F372D0" w:rsidP="00F372D0">
      <w:pPr>
        <w:spacing w:after="0" w:line="240" w:lineRule="auto"/>
        <w:jc w:val="both"/>
        <w:rPr>
          <w:rFonts w:ascii="Times New Roman" w:hAnsi="Times New Roman"/>
          <w:sz w:val="24"/>
          <w:szCs w:val="24"/>
          <w:lang w:eastAsia="ar-SA"/>
        </w:rPr>
      </w:pPr>
      <w:r>
        <w:rPr>
          <w:rFonts w:ascii="Times New Roman" w:eastAsia="Times New Roman" w:hAnsi="Times New Roman"/>
          <w:sz w:val="24"/>
          <w:szCs w:val="24"/>
          <w:lang w:eastAsia="ar-SA"/>
        </w:rPr>
        <w:t xml:space="preserve">       </w:t>
      </w:r>
      <w:r w:rsidR="008B39BA">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55A66526"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6B835538"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28692D32"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65F7A7B6"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68E9D512"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6D9FF937" w:rsidR="006B4624" w:rsidRPr="006B4624" w:rsidRDefault="00F372D0" w:rsidP="00F372D0">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69C3C0D1" w14:textId="7F38F294" w:rsidR="002B0210" w:rsidRDefault="00DE50C4" w:rsidP="009A5E34">
      <w:pPr>
        <w:widowControl w:val="0"/>
        <w:suppressAutoHyphens/>
        <w:autoSpaceDE w:val="0"/>
        <w:snapToGrid w:val="0"/>
        <w:spacing w:after="0" w:line="240" w:lineRule="auto"/>
        <w:rPr>
          <w:rFonts w:ascii="Times New Roman" w:hAnsi="Times New Roman"/>
          <w:b/>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 xml:space="preserve">Претендент не допускается к участию в аукционе </w:t>
      </w:r>
      <w:proofErr w:type="gramStart"/>
      <w:r w:rsidR="006B4624" w:rsidRPr="006B4624">
        <w:rPr>
          <w:rFonts w:ascii="Times New Roman" w:hAnsi="Times New Roman"/>
          <w:b/>
          <w:sz w:val="24"/>
          <w:szCs w:val="24"/>
          <w:lang w:eastAsia="ar-SA"/>
        </w:rPr>
        <w:t>по</w:t>
      </w:r>
      <w:proofErr w:type="gramEnd"/>
      <w:r w:rsidR="006B4624" w:rsidRPr="006B4624">
        <w:rPr>
          <w:rFonts w:ascii="Times New Roman" w:hAnsi="Times New Roman"/>
          <w:b/>
          <w:sz w:val="24"/>
          <w:szCs w:val="24"/>
          <w:lang w:eastAsia="ar-SA"/>
        </w:rPr>
        <w:t xml:space="preserve"> следующим </w:t>
      </w:r>
      <w:r w:rsidR="002B0210">
        <w:rPr>
          <w:rFonts w:ascii="Times New Roman" w:hAnsi="Times New Roman"/>
          <w:b/>
          <w:sz w:val="24"/>
          <w:szCs w:val="24"/>
          <w:lang w:eastAsia="ar-SA"/>
        </w:rPr>
        <w:t xml:space="preserve">  </w:t>
      </w:r>
    </w:p>
    <w:p w14:paraId="3A67C702" w14:textId="59206354" w:rsidR="006B4624" w:rsidRPr="006B4624" w:rsidRDefault="002B0210"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b/>
          <w:sz w:val="24"/>
          <w:szCs w:val="24"/>
          <w:lang w:eastAsia="ar-SA"/>
        </w:rPr>
        <w:t xml:space="preserve">                </w:t>
      </w:r>
      <w:r w:rsidR="006B4624" w:rsidRPr="006B4624">
        <w:rPr>
          <w:rFonts w:ascii="Times New Roman" w:hAnsi="Times New Roman"/>
          <w:b/>
          <w:sz w:val="24"/>
          <w:szCs w:val="24"/>
          <w:lang w:eastAsia="ar-SA"/>
        </w:rPr>
        <w:t>основаниям:</w:t>
      </w:r>
    </w:p>
    <w:p w14:paraId="3A4A589D" w14:textId="2D289F7A" w:rsidR="006B4624" w:rsidRPr="006B4624" w:rsidRDefault="00F372D0" w:rsidP="00F372D0">
      <w:pPr>
        <w:suppressAutoHyphens/>
        <w:autoSpaceDE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8B39BA">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F372D0">
      <w:pPr>
        <w:suppressAutoHyphens/>
        <w:autoSpaceDE w:val="0"/>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F372D0">
      <w:pPr>
        <w:suppressAutoHyphens/>
        <w:autoSpaceDE w:val="0"/>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0A7AE5C3" w:rsidR="006B4624" w:rsidRPr="006B4624" w:rsidRDefault="00F372D0" w:rsidP="00F372D0">
      <w:pPr>
        <w:suppressAutoHyphens/>
        <w:autoSpaceDE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27CD2689" w:rsidR="006B4624" w:rsidRPr="006B4624" w:rsidRDefault="00F372D0" w:rsidP="00F372D0">
      <w:pPr>
        <w:suppressAutoHyphens/>
        <w:autoSpaceDE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044C0E32" w:rsidR="006B4624" w:rsidRPr="006B4624" w:rsidRDefault="00F372D0" w:rsidP="00F372D0">
      <w:pPr>
        <w:widowControl w:val="0"/>
        <w:suppressAutoHyphens/>
        <w:autoSpaceDE w:val="0"/>
        <w:spacing w:after="0" w:line="240" w:lineRule="auto"/>
        <w:jc w:val="both"/>
        <w:rPr>
          <w:rFonts w:eastAsia="Times New Roman" w:cs="Calibri"/>
          <w:b/>
          <w:lang w:eastAsia="ar-SA"/>
        </w:rPr>
      </w:pPr>
      <w:r>
        <w:rPr>
          <w:rFonts w:ascii="Times New Roman" w:eastAsia="Times New Roman" w:hAnsi="Times New Roman"/>
          <w:sz w:val="24"/>
          <w:szCs w:val="24"/>
          <w:lang w:eastAsia="ar-SA"/>
        </w:rPr>
        <w:lastRenderedPageBreak/>
        <w:t xml:space="preserve">         </w:t>
      </w:r>
      <w:r w:rsidR="008B39BA">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D0A19AA" w:rsidR="006B4624" w:rsidRPr="006B4624" w:rsidRDefault="00DE50C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31EA3E9C" w:rsidR="006B4624" w:rsidRPr="006B4624" w:rsidRDefault="00F372D0"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2588BEE1" w:rsidR="006B4624" w:rsidRPr="006B4624" w:rsidRDefault="00DE50C4" w:rsidP="00DE50C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006B4624" w:rsidRPr="006B4624">
        <w:rPr>
          <w:rFonts w:ascii="Times New Roman" w:eastAsia="Times New Roman" w:hAnsi="Times New Roman"/>
          <w:sz w:val="24"/>
          <w:szCs w:val="24"/>
          <w:lang w:eastAsia="ar-SA"/>
        </w:rPr>
        <w:t>ии ау</w:t>
      </w:r>
      <w:proofErr w:type="gramEnd"/>
      <w:r w:rsidR="006B4624"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0A0F9363" w:rsidR="006B4624" w:rsidRPr="006B4624" w:rsidRDefault="00DE50C4" w:rsidP="00DE50C4">
      <w:pPr>
        <w:suppressAutoHyphens/>
        <w:autoSpaceDE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1295E1AF" w:rsidR="006B4624" w:rsidRPr="006B4624" w:rsidRDefault="00DE50C4" w:rsidP="00DE50C4">
      <w:pPr>
        <w:suppressAutoHyphens/>
        <w:autoSpaceDE w:val="0"/>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1AFFAA34" w:rsidR="006B4624" w:rsidRPr="006B4624" w:rsidRDefault="00DE50C4" w:rsidP="00DE50C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465C7DDD" w:rsidR="006B4624" w:rsidRPr="006B4624" w:rsidRDefault="00DE50C4" w:rsidP="00DE50C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Победителем аукциона признается участник аукциона, предложивший наибольший размер ежегодной арендной платы за земельный участок.</w:t>
      </w:r>
    </w:p>
    <w:p w14:paraId="7532CE23" w14:textId="65555642" w:rsidR="006B4624" w:rsidRPr="006B4624" w:rsidRDefault="00DE50C4" w:rsidP="00DE50C4">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006B4624"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006B4624"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15DB0D0D"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006B4624" w:rsidRPr="006B4624">
        <w:rPr>
          <w:rFonts w:ascii="Times New Roman" w:eastAsia="Times New Roman" w:hAnsi="Times New Roman"/>
          <w:sz w:val="24"/>
          <w:szCs w:val="24"/>
          <w:lang w:eastAsia="ar-SA"/>
        </w:rPr>
        <w:t>ии ау</w:t>
      </w:r>
      <w:proofErr w:type="gramEnd"/>
      <w:r w:rsidR="006B4624"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0F9074DB"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33DFB3D3"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28027D52"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         </w:t>
      </w:r>
      <w:r w:rsidR="006B4624"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028E7A33"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2EF2ADFA"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2F09132F"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0A31C7DF"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32CD68AA"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0D351382"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483A1C39"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85980CF"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1CAF77B1"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128F89C2"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27A4A3C1" w:rsidR="006B4624" w:rsidRPr="006B4624" w:rsidRDefault="00DE50C4" w:rsidP="00DE50C4">
      <w:pPr>
        <w:tabs>
          <w:tab w:val="left" w:pos="1418"/>
        </w:tabs>
        <w:suppressAutoHyphens/>
        <w:overflowPunct w:val="0"/>
        <w:autoSpaceDE w:val="0"/>
        <w:spacing w:after="0" w:line="240" w:lineRule="auto"/>
        <w:jc w:val="both"/>
        <w:textAlignment w:val="baseline"/>
        <w:rPr>
          <w:rFonts w:ascii="Times New Roman" w:eastAsia="Times New Roman" w:hAnsi="Times New Roman"/>
          <w:b/>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6FE2D242" w:rsidR="006B4624" w:rsidRPr="006B4624" w:rsidRDefault="00DE50C4"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w:t>
      </w:r>
      <w:r w:rsidR="008B39BA">
        <w:rPr>
          <w:rFonts w:ascii="Times New Roman" w:eastAsia="Times New Roman" w:hAnsi="Times New Roman"/>
          <w:b/>
          <w:bCs/>
          <w:sz w:val="24"/>
          <w:szCs w:val="24"/>
          <w:lang w:eastAsia="ar-SA"/>
        </w:rPr>
        <w:t>8</w:t>
      </w:r>
      <w:r w:rsidR="006B4624" w:rsidRPr="006B4624">
        <w:rPr>
          <w:rFonts w:ascii="Times New Roman" w:eastAsia="Times New Roman" w:hAnsi="Times New Roman"/>
          <w:b/>
          <w:bCs/>
          <w:sz w:val="24"/>
          <w:szCs w:val="24"/>
          <w:lang w:eastAsia="ar-SA"/>
        </w:rPr>
        <w:t>. Заключение договора аренды</w:t>
      </w:r>
    </w:p>
    <w:p w14:paraId="3183A4BE" w14:textId="6BA9124E" w:rsidR="006B4624" w:rsidRPr="00613F96" w:rsidRDefault="00DE50C4" w:rsidP="00DE50C4">
      <w:pPr>
        <w:spacing w:after="0" w:line="240" w:lineRule="auto"/>
        <w:jc w:val="both"/>
        <w:rPr>
          <w:rFonts w:ascii="Times New Roman" w:eastAsia="Times New Roman" w:hAnsi="Times New Roman"/>
          <w:b/>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Договор аренды заключается </w:t>
      </w:r>
      <w:r w:rsidR="006B4624"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50301C91"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60C4C59C"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DDD0D4"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006B4624" w:rsidRPr="006B4624">
        <w:rPr>
          <w:rFonts w:ascii="Times New Roman" w:eastAsia="Times New Roman" w:hAnsi="Times New Roman"/>
          <w:sz w:val="24"/>
          <w:szCs w:val="24"/>
          <w:lang w:eastAsia="ar-SA"/>
        </w:rPr>
        <w:t>ии ау</w:t>
      </w:r>
      <w:proofErr w:type="gramEnd"/>
      <w:r w:rsidR="006B4624"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13A14915"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2D7D6C0B"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3FA6AB6D"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80B4EBC" w:rsidR="006B4624" w:rsidRPr="006B4624" w:rsidRDefault="00DE50C4" w:rsidP="00DE50C4">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 xml:space="preserve">       </w:t>
      </w:r>
      <w:r w:rsidR="006B4624"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72F0091" w:rsidR="006B4624" w:rsidRPr="006B4624" w:rsidRDefault="00DE50C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5135847B" w:rsidR="006B4624" w:rsidRPr="006B4624" w:rsidRDefault="00DE50C4" w:rsidP="00DE50C4">
      <w:pPr>
        <w:shd w:val="clear" w:color="auto" w:fill="FFFFFF"/>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5B2B17E9" w:rsidR="006B4624" w:rsidRPr="006B4624" w:rsidRDefault="00DE50C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4B61"/>
    <w:rsid w:val="000A6AF1"/>
    <w:rsid w:val="000A6EA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0210"/>
    <w:rsid w:val="002B15B9"/>
    <w:rsid w:val="002B4FCB"/>
    <w:rsid w:val="002C2325"/>
    <w:rsid w:val="002C6BBD"/>
    <w:rsid w:val="002C7B01"/>
    <w:rsid w:val="002D3C2F"/>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3B24"/>
    <w:rsid w:val="004454D3"/>
    <w:rsid w:val="0044557E"/>
    <w:rsid w:val="00454F89"/>
    <w:rsid w:val="00456F33"/>
    <w:rsid w:val="00457F24"/>
    <w:rsid w:val="00462196"/>
    <w:rsid w:val="00462EDD"/>
    <w:rsid w:val="004662E5"/>
    <w:rsid w:val="00467672"/>
    <w:rsid w:val="0047235D"/>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D29F9"/>
    <w:rsid w:val="005E14C1"/>
    <w:rsid w:val="005F2428"/>
    <w:rsid w:val="005F4B5D"/>
    <w:rsid w:val="005F64F3"/>
    <w:rsid w:val="005F7FBC"/>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C71B1"/>
    <w:rsid w:val="006D18DC"/>
    <w:rsid w:val="006D2AE0"/>
    <w:rsid w:val="006D5414"/>
    <w:rsid w:val="006D6AFF"/>
    <w:rsid w:val="006E1246"/>
    <w:rsid w:val="006E328B"/>
    <w:rsid w:val="006E4E4B"/>
    <w:rsid w:val="006E5A5A"/>
    <w:rsid w:val="006E6C2F"/>
    <w:rsid w:val="006E7C43"/>
    <w:rsid w:val="006F24FA"/>
    <w:rsid w:val="006F4825"/>
    <w:rsid w:val="00700FF9"/>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307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58F4"/>
    <w:rsid w:val="008E7147"/>
    <w:rsid w:val="008E770E"/>
    <w:rsid w:val="008F518E"/>
    <w:rsid w:val="00900DFA"/>
    <w:rsid w:val="00900FFF"/>
    <w:rsid w:val="0090292C"/>
    <w:rsid w:val="00905389"/>
    <w:rsid w:val="00905F47"/>
    <w:rsid w:val="00907B9F"/>
    <w:rsid w:val="00910476"/>
    <w:rsid w:val="0091239F"/>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0779"/>
    <w:rsid w:val="00A92AB7"/>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848AF"/>
    <w:rsid w:val="00B937D4"/>
    <w:rsid w:val="00B950A8"/>
    <w:rsid w:val="00BA3247"/>
    <w:rsid w:val="00BA4448"/>
    <w:rsid w:val="00BA559D"/>
    <w:rsid w:val="00BB031A"/>
    <w:rsid w:val="00BB3A72"/>
    <w:rsid w:val="00BB469B"/>
    <w:rsid w:val="00BB52C2"/>
    <w:rsid w:val="00BC5908"/>
    <w:rsid w:val="00BD45D3"/>
    <w:rsid w:val="00BD4EAA"/>
    <w:rsid w:val="00BE3417"/>
    <w:rsid w:val="00BE6491"/>
    <w:rsid w:val="00BF1AC2"/>
    <w:rsid w:val="00BF4AA0"/>
    <w:rsid w:val="00BF7BC6"/>
    <w:rsid w:val="00C051DC"/>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B5100"/>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E50C4"/>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2D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FC27F-9DE0-414C-B47E-93709C790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2658</Words>
  <Characters>15156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33</cp:revision>
  <cp:lastPrinted>2025-01-27T03:56:00Z</cp:lastPrinted>
  <dcterms:created xsi:type="dcterms:W3CDTF">2023-06-14T04:04:00Z</dcterms:created>
  <dcterms:modified xsi:type="dcterms:W3CDTF">2025-01-27T08:25:00Z</dcterms:modified>
</cp:coreProperties>
</file>