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Экономическое развитие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 Бородино - муниципальное образование, которое законом Красноярского края от 12.11.04 г. № 12-2507 «Об установлении границ муниципального образования города Бородино и о наделении его статусом городского округа» наделено статусом городского округа и является самостоятельным муниципальным образованием, имеет свой герб и другие символы городского самоуправления.</w:t>
      </w:r>
    </w:p>
    <w:p w:rsidR="0044208C" w:rsidRDefault="0044208C" w:rsidP="004420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1" w:firstLine="7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Площадь территории составляет 3517 га, другие населенные пункты, входящие в ее состав отсутствуют.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Население города Бородино на 1 января 2016 года составило </w:t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 xml:space="preserve">16218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человек.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 расположен на  184 км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осточнее  краевого центра города  Красноярска и в 18 км. к юго-востоку от города Заозерный и ближайшей железнодорожной станции Заозерная.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Город обладает уникальными природными особенностями – месторождением бурого угля, одним из крупнейших в Канско-Ачинском бассейне.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города осуществляют производственную деятельность  три промышленных предприятия:</w:t>
      </w:r>
    </w:p>
    <w:p w:rsidR="0044208C" w:rsidRDefault="0044208C" w:rsidP="004420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-18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 АО «СУЭК - Красноярск» (филиал АО «СУЭК - Красноярск» «Разрез Бородинский» и филиал АО «СУЭК-Красноярск» «Бородинское ПТУ»);             </w:t>
      </w:r>
    </w:p>
    <w:p w:rsidR="0044208C" w:rsidRDefault="0044208C" w:rsidP="004420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-18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ООО «Бородинский ремонтно-механический завод;</w:t>
      </w:r>
    </w:p>
    <w:p w:rsidR="0044208C" w:rsidRDefault="0044208C" w:rsidP="004420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8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Обособленное подразделение ООО «Строительная компания» подразделение «Бородинское».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Муниципальные предприятия промышленности в городе отсутствуют.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важными показателями развития муниципального образования являются показатели развития производства, занятости населения и уровень заработной платы.</w:t>
      </w: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2015 года наблюдается увеличение объема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отгруженной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продукции собственного производства, выполненных работ и услуг собственными силами,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который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городу составил  7,185 млрд. рублей (19,7% к соответствующему периоду  2014 года, 2014г. – 6,000 млрд. рублей).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Средняя номинальная начисленная заработная плата по крупным и средним предприятиям за  2015 год составила 30003,1 руб., что на 8,1% выше уровня 2014 года (2014 г. – 27741,0руб.). Уровень регистрируемой безработицы составил в 2014 году - 1,70 %, в 2015 году – 1,76 %.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город Бородино сохранил положительные тенденции социально-экономического развития. В отчетном году администрацией города разработаны и реализованы мероприятия по обеспечению социально-экономической стабильности города. Данные мероприятия направлены на обеспечение занятости населения, предотвращение образования задолженности по заработной плате, обеспечение устойчивой работы систем жизнеобеспечения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населения, обеспечение населения основными продуктами питания, поддержку малого бизнеса, устойчивую работу организаций социальной сферы и реального сектора экономики, мобилизацию доходов, повышение эффективности и экономии расходов бюджета города.  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одним из важнейших элементов социально-экономического развития муниципального образования является малое и среднее предпринимательство, как наиболее массовая, динамичная и гибкая форма деловой жизни.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01.01.2016  года на территории города осуществляют деятельность 69 малых предприятий (численность работников – 792 человека). 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В 2015 году на территории города Бородино было зарегистрировано 366  индивидуальных предпринимателей с численностью работников 464 чел.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малых предприятий и индивидуальных предпринимателей применяют упрощенную систему налогообложения, либо являются плательщиками единого налога на вмененный доход.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Преобладающей сферой деятельности индивидуальных предпринимателей является торговля. В сфере потребительского рынка функционирует 101 магазин, 17 точек общественного питания, 6 торговых павильонов, 5 киосков, 10 парикмахерских, 5– АЗС,  8 аптек, 1 аптечный пункт.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обеспечения условий интенсивного роста малого и среднего предпринимательства в городе Бородино в 2015 году действовала муниципальная программа «Развитие субъектов малого и среднего предпринимательства в городе Бородино». Общий объем финансирования в рамках программы составил 830,60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Объем запланированных бюджетных ассигнований за счет средств местного бюджета в 2015 г. составил 200 тыс. рублей.(было освоено 45,8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  За счет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аевого бюджета в 2015 году городу было выделено 375,0 тыс. руб. Так же была получена субсидия за счет средств федерального бюджета в сумме 409,8 тыс. руб.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увеличилась с 25,29% в 2014 году до 29,65% в 2015 году. Это происходит в связи с ростом количества малых предприятий  и численностью их работников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показателей, характеризующих развитие экономики муниципального образования, является показатель  инвестиционной активности – объем инвестиций в основной капитал.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структуры инвестиций показывает, что в городе имеются как бюджетные, так и внебюджетные инвестиции, собственные средства предприятий.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инвестиций в основной капитал в 2015 году составил 506,34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.(в 2014 – 380,22млн. руб., 133,17 % к 2014 г.), в том числе за счет бюджетных средств - в 2015 году объем составил 65049,0 тыс. руб. ( в 2014 г. – 48811,00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в основной капитал за счет средств предприятий в 2015 году были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4943"/>
      </w:tblGrid>
      <w:tr w:rsidR="0044208C">
        <w:tc>
          <w:tcPr>
            <w:tcW w:w="4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Наименование предприятия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Вид инвестирования</w:t>
            </w:r>
          </w:p>
        </w:tc>
      </w:tr>
      <w:tr w:rsidR="0044208C">
        <w:tc>
          <w:tcPr>
            <w:tcW w:w="4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филиал АО «СУЭК – Красноярск» «Разрез Бородинский им. М.И.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Щадова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модернизация и обновление материально-технической базы предприятия</w:t>
            </w:r>
          </w:p>
        </w:tc>
      </w:tr>
      <w:tr w:rsidR="0044208C">
        <w:tc>
          <w:tcPr>
            <w:tcW w:w="4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филиал АО «СУЭК – Красноярск» «Бородинское погрузочно-транспортное управление»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приобретение оборудования для перевозки угля</w:t>
            </w:r>
          </w:p>
        </w:tc>
      </w:tr>
      <w:tr w:rsidR="0044208C">
        <w:tc>
          <w:tcPr>
            <w:tcW w:w="4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ООО «Бородинский ремонтно-механический завод»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приобретение оборудования</w:t>
            </w:r>
          </w:p>
        </w:tc>
      </w:tr>
      <w:tr w:rsidR="0044208C">
        <w:tc>
          <w:tcPr>
            <w:tcW w:w="4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«Строительная компания»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приобретение оборудования</w:t>
            </w:r>
          </w:p>
        </w:tc>
      </w:tr>
    </w:tbl>
    <w:p w:rsidR="0044208C" w:rsidRDefault="0044208C" w:rsidP="0044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</w:t>
      </w:r>
    </w:p>
    <w:p w:rsidR="0044208C" w:rsidRDefault="0044208C" w:rsidP="0044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период до 2018 года предусмотрены частные инвестиции в строительство следующих объектов промышленного назначения: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559"/>
        <w:gridCol w:w="1027"/>
        <w:gridCol w:w="1134"/>
        <w:gridCol w:w="2693"/>
      </w:tblGrid>
      <w:tr w:rsidR="0044208C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 промышленного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 начала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вложений,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</w:t>
            </w:r>
          </w:p>
        </w:tc>
      </w:tr>
      <w:tr w:rsidR="0044208C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Строительство бани-мойки (модульного типа) для локомотивных бригад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бытовое здание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АО "СУЭК-Красноярск" "Бородинское ПТУ"</w:t>
            </w:r>
          </w:p>
        </w:tc>
      </w:tr>
      <w:tr w:rsidR="0044208C">
        <w:trPr>
          <w:trHeight w:val="1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Строительство  3-х тупиков парка Уральская ст. Угольная 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Железнодорожное сооружение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70 652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АО "СУЭК-Красноярск" "Бородинское ПТУ"</w:t>
            </w:r>
          </w:p>
        </w:tc>
      </w:tr>
      <w:tr w:rsidR="0044208C">
        <w:trPr>
          <w:trHeight w:val="7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Строительство мойки думпкаров на                                      ст. Породная-2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Сервисное здание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53 494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АО "СУЭК-Красноярск" "Бородинское ПТУ"</w:t>
            </w:r>
          </w:p>
        </w:tc>
      </w:tr>
      <w:tr w:rsidR="0044208C">
        <w:trPr>
          <w:trHeight w:val="7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Строительство  складского помещения для хранения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бочкотары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Складское здание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Филиал АО "СУЭК-Красноярск" "Разрез Бородинский имени М.И.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Щадова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</w:t>
            </w:r>
          </w:p>
        </w:tc>
      </w:tr>
    </w:tbl>
    <w:p w:rsidR="0044208C" w:rsidRDefault="0044208C" w:rsidP="0044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16"/>
          <w:szCs w:val="16"/>
        </w:rPr>
      </w:pPr>
    </w:p>
    <w:p w:rsidR="0044208C" w:rsidRDefault="0044208C" w:rsidP="0044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Бюджетные инвестиции в 2015 году были направлены на реконструкцию объектов социальной и коммунальной инфраструктуры, предусмотренных комплексным планом модернизации моногорода Бородино.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дефицитом бюджета  на плановый период 2016-2018 годов инвестиций в основной капитал за счет бюджетных средств не планируется.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20"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Расчет итогового показателя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1484"/>
        <w:gridCol w:w="1662"/>
        <w:gridCol w:w="1799"/>
        <w:gridCol w:w="1941"/>
      </w:tblGrid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2015факт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2016оценка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2017прогноз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2018прогноз</w:t>
            </w:r>
          </w:p>
        </w:tc>
      </w:tr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инвестиций в основной капитал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сего,тыс.рублей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506337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465118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486513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505487</w:t>
            </w:r>
          </w:p>
        </w:tc>
      </w:tr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 них бюджетные средства,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65049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инвестиций без бюджетных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ыс.рублей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441288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465118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486513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505487</w:t>
            </w:r>
          </w:p>
        </w:tc>
      </w:tr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Среднегодовая численность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16278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16030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15901</w:t>
            </w:r>
          </w:p>
        </w:tc>
      </w:tr>
      <w:tr w:rsidR="0044208C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Объем инвестиций (без бюджетных средств) на 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жителя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27109,5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28789,18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30350,18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31789,67</w:t>
            </w:r>
          </w:p>
        </w:tc>
      </w:tr>
    </w:tbl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начало 2016 года площадь города Бородино составляет 6574 га. Доля площади земельных участков, являющихся объектами налогообложения земельным налогом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общей площади территории городского округа за 2015 год увеличилась на 0,27% от общей площади территории городского округа,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составила 56,67 %. Данные изменения, , объясняется рядом факторов, к которым можно отнести следующие: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-продажа земельных участков, государственная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собьственность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которые не разграничена в частную собственность;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предоставление земельных участков, государственная собственность которых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оазграничена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собственность многодетным семьям;</w:t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формирование земельных участков и их постановка на государственный кадастровый учет.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прибыльных сельскохозяйственных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общем их числе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Сельскохозяйственных организаций в муниципальном образовании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протяженности автомобильных дорог  общего пользования  местного значения, не отвечающие нормативным требованиям, в общей протяженности дорог общего пользования местного значения в 2015г. составила 94 %, а в 2014г. 86 %. В связи с массовой частной застройкой в микрорайоне Северный добавились дороги с грунтовым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покрытием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следовательно, увеличилась общая протяженность автомобильных дорог, поэтому процент больше в 2015г. больше чем 2014г.</w:t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Отличие от данных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обусловлено тем, что в статистику  были поданы неверные данные.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 имеет регулярное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автобусноее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сообщение с административным центром Красноярского края.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Среднемесячная номинальная начисленная заработная плата работников: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крупных и средних предприятий и некоммерческих организаций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Среднемесячная заработная плата (по крупным и средним    предприятиям), согласно данным Росстата в 2015 году составила 30003,10 руб. (в 2014 году - 27741,00 руб.), рост  заработной платы составил 108,2%.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дошкольных 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заработная плата: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муниципальных дошкольных образовательных учреждений  - 16 736,6 рубля (в 2014 году -14 538,6  руб.), рост составил 115,1 %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общеобразовательных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муниципальных общеобразовательных учреждений  - 27 342,5 рубля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2014 году - 24 502,7 ), рост заработной платы составил 111,6 %;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учителей муниципальных общеобразовательных учреждений – 33 913,38 рубле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й(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2014 году т- 29 698,61  руб.), рост заработной платы составил 114,2 %.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учреждений культуры и искусства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и искусства в 2015 году составила 21 056,0 руб. (в 2014 году - 19 611,60 0 руб.), рост заработной платы составил 107,4%.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учреждений физической культуры и спорта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в 2015 году составила 21 720,6 руб. (в 2014 году - 20 027,5 руб.).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Дошкольное образование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2015 году в городе функционировали 7 дошкольных учреждений на 1061 место, которые посещали 1064 ребёнка. В сентябре 2015 года количество мест увеличено на  10 в соответствии с санитарными правилами и нормами,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очереди детей в возрасте от 3 до 7 лет нет с 1 декабря 2014 года.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Охват детей дошкольным образованием составил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2015 года 67,5% (в 2014 году – 61%).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2015 года в очереди на получение мест в детские сады стояли 417 детей (на конец.2014 года в очереди насчитывалось 405 человек). </w:t>
      </w:r>
    </w:p>
    <w:p w:rsidR="0044208C" w:rsidRDefault="0044208C" w:rsidP="0044208C">
      <w:pPr>
        <w:tabs>
          <w:tab w:val="left" w:pos="567"/>
          <w:tab w:val="left" w:pos="45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ab/>
        <w:t>В</w:t>
      </w:r>
      <w:r>
        <w:rPr>
          <w:rFonts w:ascii="Calibri" w:hAnsi="Calibri" w:cs="Calibri"/>
          <w:color w:val="00000A"/>
          <w:sz w:val="28"/>
          <w:szCs w:val="28"/>
        </w:rPr>
        <w:t xml:space="preserve"> 2015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году</w:t>
      </w:r>
      <w:r>
        <w:rPr>
          <w:rFonts w:ascii="Calibri" w:hAnsi="Calibri" w:cs="Calibri"/>
          <w:color w:val="00000A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детей</w:t>
      </w:r>
      <w:r>
        <w:rPr>
          <w:rFonts w:ascii="Calibri" w:hAnsi="Calibri" w:cs="Calibri"/>
          <w:color w:val="00000A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инвалидов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зачислены</w:t>
      </w:r>
      <w:proofErr w:type="gramEnd"/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ДОУ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и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получают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образовательную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услугу</w:t>
      </w:r>
      <w:r>
        <w:rPr>
          <w:rFonts w:ascii="Calibri" w:hAnsi="Calibri" w:cs="Calibri"/>
          <w:color w:val="00000A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</w:t>
      </w:r>
      <w:r>
        <w:rPr>
          <w:rFonts w:ascii="Calibri" w:hAnsi="Calibri" w:cs="Calibri"/>
          <w:color w:val="00000A"/>
          <w:sz w:val="28"/>
          <w:szCs w:val="28"/>
        </w:rPr>
        <w:t xml:space="preserve"> 2014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году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–</w:t>
      </w:r>
      <w:r>
        <w:rPr>
          <w:rFonts w:ascii="Calibri" w:hAnsi="Calibri" w:cs="Calibri"/>
          <w:color w:val="00000A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человек</w:t>
      </w:r>
      <w:r>
        <w:rPr>
          <w:rFonts w:ascii="Calibri" w:hAnsi="Calibri" w:cs="Calibri"/>
          <w:color w:val="00000A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Тем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семьям</w:t>
      </w:r>
      <w:r>
        <w:rPr>
          <w:rFonts w:ascii="Calibri" w:hAnsi="Calibri" w:cs="Calibri"/>
          <w:color w:val="00000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дети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из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которых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не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могут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посещать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детский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сад</w:t>
      </w:r>
      <w:r>
        <w:rPr>
          <w:rFonts w:ascii="Calibri" w:hAnsi="Calibri" w:cs="Calibri"/>
          <w:color w:val="00000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организована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консультативная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помощь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педагогов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и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специалистов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на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дому</w:t>
      </w:r>
      <w:r>
        <w:rPr>
          <w:rFonts w:ascii="Calibri" w:hAnsi="Calibri" w:cs="Calibri"/>
          <w:color w:val="00000A"/>
          <w:sz w:val="28"/>
          <w:szCs w:val="28"/>
        </w:rPr>
        <w:t xml:space="preserve">. </w:t>
      </w:r>
    </w:p>
    <w:p w:rsidR="0044208C" w:rsidRDefault="0044208C" w:rsidP="0044208C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Улучшение качества дошкольного образования является одной из приоритетных задач.  С 1 сентября 2015 года все дошкольные учреждения города перешли на реализацию образовательных программ в соответствии с федеральными государственными образовательными стандартами.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Серьёзное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уделяется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ремонтам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укреплению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базы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>
        <w:rPr>
          <w:rFonts w:ascii="Calibri" w:hAnsi="Calibri" w:cs="Calibri"/>
          <w:sz w:val="28"/>
          <w:szCs w:val="28"/>
        </w:rPr>
        <w:t>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от 1 до 6 лет, получающих дошкольное образование на 01.01.2016 в дошкольных образовательных учрежден</w:t>
      </w:r>
      <w:r w:rsidR="00F32283">
        <w:rPr>
          <w:rFonts w:ascii="Times New Roman CYR" w:hAnsi="Times New Roman CYR" w:cs="Times New Roman CYR"/>
          <w:sz w:val="28"/>
          <w:szCs w:val="28"/>
        </w:rPr>
        <w:t>иях города, составляет  82,10 %(1035 человек). Общая численность детей в возрасте от 1 до 6 лет составляет 1287 человек.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детей, состоящих на учете для определения в детские сады,   от 1 года до 6 лет на 01.01.2016 года составляет </w:t>
      </w:r>
      <w:r w:rsidR="00F32283">
        <w:rPr>
          <w:rFonts w:ascii="Times New Roman CYR" w:hAnsi="Times New Roman CYR" w:cs="Times New Roman CYR"/>
          <w:sz w:val="28"/>
          <w:szCs w:val="28"/>
        </w:rPr>
        <w:t>3,16% (252 человека).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муниципальных дошкольных образовательных учреждений, нуждающихся в капитальном ремонт</w:t>
      </w:r>
      <w:r w:rsidR="00F32283">
        <w:rPr>
          <w:rFonts w:ascii="Times New Roman CYR" w:hAnsi="Times New Roman CYR" w:cs="Times New Roman CYR"/>
          <w:sz w:val="28"/>
          <w:szCs w:val="28"/>
        </w:rPr>
        <w:t>е составила</w:t>
      </w:r>
      <w:proofErr w:type="gramEnd"/>
      <w:r w:rsidR="00F32283">
        <w:rPr>
          <w:rFonts w:ascii="Times New Roman CYR" w:hAnsi="Times New Roman CYR" w:cs="Times New Roman CYR"/>
          <w:sz w:val="28"/>
          <w:szCs w:val="28"/>
        </w:rPr>
        <w:t xml:space="preserve"> в 2015 году 14,29 % (1 детский сад).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и дополнительное образование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Основное внимание, как и в предыдущие годы в сфере образования, в 2015 году было уделено решению следующих задач: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устойчивой работы образовательных учреждений, отвечающих современным требованиям;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укрепление материально-технической базы образовательных учреждений и обеспечение безопасности образовательного процесса;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кадрового ресурса;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отдых и оздоровление детей.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В 3-х школах на 01.09.2015 года обучалось 2030 человек (в 2014 году – 2009), из них по состоянию здоровья 15 человек находились на надомном обучении, по адаптированным программам обучались 68 детей (дети с ограниченными возможностями здоровья).  Пять человек по заявлениям родителей получали обучение вне школы, в семейной форме.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«4» и «5» окончили 2014-2015 учебный год 32% обучающихся, (в прошлом году – 33%), 1 девятиклассник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получил аттестат особого образца, 11 выпускников получили аттестаты с отличием и медали «За особые успехи в учении» (в прошлом году – 4 девятиклассника и 6 выпускников школы).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Детей, исключённых из школ города, выбывших и не получающих образования, в 2014-2015 учебном году не было.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Выпускники</w:t>
      </w:r>
      <w:r>
        <w:rPr>
          <w:rFonts w:ascii="Calibri" w:hAnsi="Calibri" w:cs="Calibri"/>
          <w:sz w:val="28"/>
          <w:szCs w:val="28"/>
        </w:rPr>
        <w:t xml:space="preserve"> 11-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классов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сдаче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экзаменов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ЕГЭ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показывают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 xml:space="preserve"> 2015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кроме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истории</w:t>
      </w:r>
      <w:r>
        <w:rPr>
          <w:rFonts w:ascii="Calibri" w:hAnsi="Calibri" w:cs="Calibri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бородинских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краевых</w:t>
      </w:r>
      <w:r>
        <w:rPr>
          <w:rFonts w:ascii="Calibri" w:hAnsi="Calibri" w:cs="Calibri"/>
          <w:sz w:val="28"/>
          <w:szCs w:val="28"/>
        </w:rPr>
        <w:t xml:space="preserve">. 100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получены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экзаменах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русскому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языку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химии</w:t>
      </w:r>
      <w:r>
        <w:rPr>
          <w:rFonts w:ascii="Calibri" w:hAnsi="Calibri" w:cs="Calibri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Calibri" w:hAnsi="Calibri" w:cs="Calibri"/>
          <w:sz w:val="28"/>
          <w:szCs w:val="28"/>
        </w:rPr>
        <w:t xml:space="preserve"> 90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набрали</w:t>
      </w:r>
      <w:r>
        <w:rPr>
          <w:rFonts w:ascii="Calibri" w:hAnsi="Calibri" w:cs="Calibri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русскому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языку</w:t>
      </w:r>
      <w:r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Calibri" w:hAnsi="Calibri" w:cs="Calibri"/>
          <w:sz w:val="28"/>
          <w:szCs w:val="28"/>
        </w:rPr>
        <w:t xml:space="preserve"> 90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Calibri" w:hAnsi="Calibri" w:cs="Calibri"/>
          <w:sz w:val="28"/>
          <w:szCs w:val="28"/>
        </w:rPr>
        <w:t xml:space="preserve"> 98), 1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химии</w:t>
      </w:r>
      <w:r>
        <w:rPr>
          <w:rFonts w:ascii="Calibri" w:hAnsi="Calibri" w:cs="Calibri"/>
          <w:sz w:val="28"/>
          <w:szCs w:val="28"/>
        </w:rPr>
        <w:t xml:space="preserve"> (94</w:t>
      </w:r>
      <w:r>
        <w:rPr>
          <w:rFonts w:ascii="Times New Roman CYR" w:hAnsi="Times New Roman CYR" w:cs="Times New Roman CYR"/>
          <w:sz w:val="28"/>
          <w:szCs w:val="28"/>
        </w:rPr>
        <w:t>балла</w:t>
      </w:r>
      <w:r>
        <w:rPr>
          <w:rFonts w:ascii="Calibri" w:hAnsi="Calibri" w:cs="Calibri"/>
          <w:sz w:val="28"/>
          <w:szCs w:val="28"/>
        </w:rPr>
        <w:t xml:space="preserve">), 1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физике</w:t>
      </w:r>
      <w:r>
        <w:rPr>
          <w:rFonts w:ascii="Calibri" w:hAnsi="Calibri" w:cs="Calibri"/>
          <w:sz w:val="28"/>
          <w:szCs w:val="28"/>
        </w:rPr>
        <w:t xml:space="preserve"> (92 </w:t>
      </w:r>
      <w:r>
        <w:rPr>
          <w:rFonts w:ascii="Times New Roman CYR" w:hAnsi="Times New Roman CYR" w:cs="Times New Roman CYR"/>
          <w:sz w:val="28"/>
          <w:szCs w:val="28"/>
        </w:rPr>
        <w:t>балла</w:t>
      </w:r>
      <w:r>
        <w:rPr>
          <w:rFonts w:ascii="Calibri" w:hAnsi="Calibri" w:cs="Calibri"/>
          <w:sz w:val="28"/>
          <w:szCs w:val="28"/>
        </w:rPr>
        <w:t xml:space="preserve">), 1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биологии</w:t>
      </w:r>
      <w:r>
        <w:rPr>
          <w:rFonts w:ascii="Calibri" w:hAnsi="Calibri" w:cs="Calibri"/>
          <w:sz w:val="28"/>
          <w:szCs w:val="28"/>
        </w:rPr>
        <w:t xml:space="preserve"> (95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>
        <w:rPr>
          <w:rFonts w:ascii="Calibri" w:hAnsi="Calibri" w:cs="Calibri"/>
          <w:sz w:val="28"/>
          <w:szCs w:val="28"/>
        </w:rPr>
        <w:t>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Без неудовлетворительных результатов сданы экзамены по русскому языку, биологии, химии, информатике, литературе.</w:t>
      </w:r>
    </w:p>
    <w:p w:rsidR="0044208C" w:rsidRDefault="0044208C" w:rsidP="004420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Учреждение дополнительного образования станцию юных техников посещали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880 детей, что составило 43,9% от числа детей школьного возраста (в 2014 году - 880 детей, 45,5%). Образовательные программы по техническому,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естественно-научному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туристско-краеведческому, социально-педагогическому, физкультурно-спортивному направлениям способствуют развитию исследовательских, проектных, инженерно-конструкторских навыков и формированию коммуникативных, презентационных компетентностей.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творческих объединениях школ обучается 75% детей, в секциях физкультурно-спортивных клубов занимаются более 400 учащихся.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Растёт   количество детей, участвующих в мероприятиях краевого,  муниципального уровней. Школьники принимают участие в интенсивных школах интеллектуального и технического роста, форумах, соревнованиях, конкурсах как очно, так  и дистанционно.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Охват детей разными формами работы составляет 83,5% (в 2014 году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%), более 20% из них становятся победителями и призёрами различных конкурсов.</w:t>
      </w:r>
    </w:p>
    <w:p w:rsidR="0044208C" w:rsidRDefault="0044208C" w:rsidP="0044208C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2015 году в учреждении дополнительного образования выполнены ремонтные работы на сумму  1 168, 4711 тыс.  рублей (укрепление цоколя, ремонт водостоков, фасада,  асфальтирование).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 2015 году были организованы лагеря дневного пребывания при школах, где в июне отдохнули 621 человек; проведены 4 оздоровительных сезона в загородном лагере «Шахтёр».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выпускников, сдавших единый государственный экзамен по русскому языку и математике, составила 99,15%.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2015  году равна нулю.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соответствия общеобразовательных школ современным требованиям составляет 82,09%.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Здания двух муниципальных общеобразовательных учреждений требую</w:t>
      </w:r>
      <w:r w:rsidR="00F32283">
        <w:rPr>
          <w:rFonts w:ascii="Times New Roman CYR" w:hAnsi="Times New Roman CYR" w:cs="Times New Roman CYR"/>
          <w:sz w:val="28"/>
          <w:szCs w:val="28"/>
        </w:rPr>
        <w:t>т капитального ремонта (66,67%) (2 школы).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в муниципальных общеобразовательных учреждениях составила в 2015 году 78,7%.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обучаются в первую смену.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44208C" w:rsidRDefault="0044208C" w:rsidP="0044208C">
      <w:pPr>
        <w:tabs>
          <w:tab w:val="left" w:pos="709"/>
        </w:tabs>
        <w:suppressAutoHyphens/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4208C" w:rsidRDefault="0044208C" w:rsidP="0044208C">
      <w:pPr>
        <w:tabs>
          <w:tab w:val="left" w:pos="709"/>
        </w:tabs>
        <w:suppressAutoHyphens/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отчетам исполнения планов финансово-хозяйственной деятельности школ за 2015 год расходы бюджета муниципального образования на общее образование в расчете на 1 обучающегося в муниципальных образовательных учреждениях  в 2015 году составили 51,87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(в 2014 г. – 47,20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Общий охват детей в возрасте 5-18 лет дополнительным образованием в 2015 году (УДОД и СОШ) составил  95,2%.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</w:p>
    <w:p w:rsidR="0044208C" w:rsidRDefault="0044208C" w:rsidP="004420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 Бородино обладает богатым культурным потенциалом, обеспечивающим населению широкий доступ к культурным ценностям, информации и знаниям. Деятельность учреждений культуры и образовательных учреждений в области культуры города Бородино направлена на создание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условий, обеспечивающих равный доступ населения к высококачественным культурным благам и услугам и формирующих благоприятную культурную среду для  творческой самореализации граждан.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населения, участвующего       в платных культурно-досуговых мероприятиях, проводимых муниципальными учреждениями культуры,  составляет  в 2015 году 136,0 %.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Поддержке традиционных форм народного художественного творчества в  городе способствует проведение фестивалей, конкурсов, выставок декоративно-прикладного искусства, мастер-классов, творческих мастерских.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31"/>
          <w:szCs w:val="31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Важную роль в сохранении культурного наследия играют библиотеки   и музей, в которых собраны образцы    федеральной, краевой и местной материальной и духовной культуры. Вместе с тем, имеющиеся ресурсы  общедоступных библиотек города, не в полной мере соответствуют информационным и культурным запросам пользователей.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Музеи истории города Бородино ведет активную просветительскую работу с населением различных возрастных групп.   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работы,</w:t>
      </w:r>
      <w:r>
        <w:rPr>
          <w:rFonts w:ascii="Times New Roman CYR" w:hAnsi="Times New Roman CYR" w:cs="Times New Roman CYR"/>
          <w:color w:val="00B0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музейное оборудование.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представленных (во всех формах) зрителю музейных  предметов в общем количестве музейных предметов основного фонда составляет – 41,7%.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>
        <w:rPr>
          <w:rFonts w:ascii="Times New Roman CYR" w:hAnsi="Times New Roman CYR" w:cs="Times New Roman CYR"/>
          <w:sz w:val="31"/>
          <w:szCs w:val="31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 учреждения культурно-досугового типа. Число участников клубных формирований на 1 тыс. человек населения составляет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70,4 человек.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Бородино проводятся такие мероприятия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, как фестиваль исторического моделирования «Бородинское поле – связь времен» с участием творческих коллективов Красноярского края, патриотический фестиваль «От росинки до звезды», раз в три года проходят   зональные фестивали – конкурсы: «Огни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КАТЭКа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 «У  лиры семь струн». Творческие коллективы города успешно гастролируют и участвуют в краевых и российских  фестивалях и конкурсах.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недостаточность финансирования  культурных  проектов препятствует полноценному включению города в общероссийский и мировой культурный процесс.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муниципалитета. Формирующаяся 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хореографического  искусства. Число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учащихся детской школы иску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сств к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исленности учащихся общеобразовательных школ в городе (процент охвата) в 2015 году составляет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8,6 %.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основных задач остается подготовка и переподготовка специалистов для отрасли, повышения их квалификации. В 2015 году  повысили свой квалификационный уровень 26 специалиста учреждений культуры. Формируются заявки на выплату денежного  поощрения лучшим творческим работникам в области культуры, талантливой молодежи, осуществляется перевод на новую систему оплаты труда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серьезной проблемой продолжает оставаться дефицит кадров, что обусловлено низкой заработной платой и социальной незащищенностью творческих работников и работников культуры.  Несоответствие кадрового потенциала уровню возникающих проблем                     в отрасли приводит к низкому уровню развития инновационной                                и экспериментальной деятельности, слабому учету учреждениями культуры актуальных социально-культурных процессов, досуговых предпочтений                   и ценностных ориентаций различных категорий населения.</w:t>
      </w:r>
    </w:p>
    <w:p w:rsidR="0044208C" w:rsidRDefault="0044208C" w:rsidP="004420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темпы развития информационно-коммуникационной инфраструктуры в отрасли не позволяют обеспечить внедрение электронных услуг,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целях преодоления сложившихся в сфере культуры  города противоречий,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Бородино в крае  и  стране, исходя из критериев наиболее полного удовлетворения потребностей населения, сохранения и приумножения культурного потенциала края. 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Сеть муниципальных учреждений культуры города Бородино представлена централизованной библиотечной системой, объединяющей 2 библиотеки и 1 филиал, городским Дворцом культуры «Угольщик», музеем истории города Бородино, Детской школы искусств, городским Домом ремёсел.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Обеспеченность жителей города услугами учреждений культуры и образовательных учреждений в области культуры не в полной мере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соответствует нормативам, рекомендованным распоряжением Правительства Российской Федерации от 03.07.1996 № 1063-р.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обеспеченности клубами и учреждениями клубного типа на 2015 год составляет - 60,94%; прогноз 2016 год – 61,40%; 2017 год – 61,88%; 2018 год – 62,39%;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Обеспеченность населения города библиотеками  в 2015 году составляет – 100,0 % 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Парков культуры и отдыха в городе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Здания трех учреждений культуры (МКУК "ЦБС", МБУК ГДК "Угольщик", МБУК "ГДР") требуют капитального ремонта. Их доля в общем количестве муниципальных учреждений культуры составила в 2015 г. 50%.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Объектов культурного наследия, находящихся в муниципальной собственности и требующих консервации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реставрациив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городе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2015 году на физическую культуру и спорт в городе Бородино всего, по различным направлениям, израсходовано 37 004,5 тыс. рублей.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значимые спортивно-массовые мероприятия отражены в муниципальной программе «Развитие физической культуры и спорта в городе Бородино». </w:t>
      </w:r>
      <w:r>
        <w:rPr>
          <w:rFonts w:ascii="Times New Roman CYR" w:hAnsi="Times New Roman CYR" w:cs="Times New Roman CYR"/>
          <w:sz w:val="28"/>
          <w:szCs w:val="28"/>
        </w:rPr>
        <w:t xml:space="preserve">По программе использовано 24 128,64, из них: ДЮСШ – 19 871,33 тыс. рублей; - ОКСМП и ИО 1 257,31 тыс. рублей.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Также ДЮСШ получила субсидию из Краевого бюджета в размере 3 000, 00 тыс. тыс. рублей на ремонт лыже-роллерной трассы.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заработную плату работников физкультуры и спорта различных ведомств потрачено 19 253,2 тыс. рублей.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городе действует учреждение дополнительного образования физкультурно-спортивной направленности - Детская Юношеская Спортивная Школа. 520 учащихся обучаются в МОУ  ДОД   ДЮСШ на 5 отделениях: баскетбол, биатлон, борьба дзюдо и самбо, лыжные гонки, футбол.  Лучшие воспитанники Бородинской ДЮСШ входят в состав сборных команд Красноярского края по биатлону, баскетболу, лыжным гонкам, борьбе дзюдо и самбо. Бородинская спортивная школа включает целый комплекс спортивных объектов: спортивный зал, плавательный бассейн, городской стадион и лыжную базу, спортивный комплекс зимних видов спорта.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спортивно-оздоровительных объектов города насчитывает 34 спортивных сооружений, 7 физкультурно-спортивных залов, 2 плавательных бассейна, 16 плоскостных спортивных сооружений, тир, зал борьбы, стадион, зал восточных единоборств, тренажерные залы, лыже-роллерная трасса и спортивный комплекс зимних видов спорта.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Фактическая обеспеченность объектами физической культуры и спорта от нормативной потребности составляет: спортивными залами 41,34%, плавательными бассейнами 30,68%, плоскостными спортивными сооружениями  110,89 %.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Единовременная пропускная способность спортивных сооружений 1 153 человека.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/>
        <w:ind w:right="181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постоянном контроле у Главы города вопросы по   развитию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оздоровительной и спортивно-массовой работы в городе, участие и достойное выступление бородинских спортсменов на краевых и Российских соревнованиях.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городе проводятся зональные, региональные и краевые соревнования по лыжным гонкам, футболу, баскетболу, шахматам, волейболу, борьбе дзюдо. Ежегодно формируется календарь спортивно-массовых мероприятий. 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/>
        <w:ind w:right="18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2015 года проведено более 45 спортивно-массовых мероприятий, в которых приняли участие свыше 4 тысяч человек. Наиболее массовые из них:  «Кросс нации», «Лыжня России», городская спартакиада  трудящихся, спортивные праздники, посвященные Дню Победы, Дню города, Дню шахтера, Дню молодежи. Более  800  бородинских спортсменов  в 2014 году приняли участие в 40  федеральных, краевых и межмуниципальных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спортивных мероприятиях. На  эти цели было направлено более 867,00 тыс. рублей.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городе действуют 3 физкультурно-спортивных клуба по месту жительства, созданных в 2011 году в рамках краевой программы «От массовости - к мастерству».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 В  них   занимаются 273 человека, что составляет 7,26% от числа систематически занимающихся физической культурой и спортом жителей города.  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2015 году совместно с Центром социальной защиты продолжена работа   по активизации физкультурно-оздоровительной деятельности среди инвалидов.   Совместно со спортивно-оздоровительным клубом по месту жительства «Сила поколения»  проводятся занятия на  приобретенном специализированном оборудовании и тренажерах.   </w:t>
      </w:r>
    </w:p>
    <w:p w:rsidR="0044208C" w:rsidRDefault="0044208C" w:rsidP="0044208C">
      <w:pPr>
        <w:shd w:val="clear" w:color="auto" w:fill="FFFFFF"/>
        <w:autoSpaceDE w:val="0"/>
        <w:autoSpaceDN w:val="0"/>
        <w:adjustRightInd w:val="0"/>
        <w:spacing w:after="0"/>
        <w:ind w:right="18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летний период действует утвержденная главой города программа «Организация занятости детей и подростов  различными формами физкультурно-оздоровительной и спортивной деятельности». Благодаря проведенной работе, в течение летнего периода, различными формами физкультурно-оздоровительной деятельности было охвачено более 1 300 детей и подростков. 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общеобразовательных  школах, детских садах, ДЮСШ, в учреждениях дополнительного образования, работают профессиональные тренеры и педагогии. На базах школ функционируют спортивные клубы, которые занимаются организацией физкультурно-оздоровительной работы с учащимися и родителями. В кружках спортивной направленности  в МОУ  ДОД « Станция юных техников» занимаются 39 учащихся.</w:t>
      </w:r>
    </w:p>
    <w:p w:rsidR="0044208C" w:rsidRDefault="0044208C" w:rsidP="004420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достижением  завершение строительства в 2015году в городе Бородино Центра зимних видов спорта.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проблем, которые необходимо решать: ремонт  единственного в округе плавательного бассейна; оборудование искусственного покрытия на футбольном поле и в хоккейной коробке стадиона.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систематически занимающегося физической культурой и спортом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населения, систематически занимающихся физической культурой и спортом,  в 2015 году  составила 4 003 человека, это  26,40% от численности  населения города в возрасте от 3 до 79 лет.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В прогнозируемом периоде численность населения, систематически занимающегося физической культурой и спортом, в 2016 году составит – 28,47%,  а  в 2018 году  – 30,65%  </w:t>
      </w:r>
      <w:r>
        <w:rPr>
          <w:rFonts w:ascii="Times New Roman CYR" w:hAnsi="Times New Roman CYR" w:cs="Times New Roman CYR"/>
          <w:sz w:val="28"/>
          <w:szCs w:val="28"/>
        </w:rPr>
        <w:t>от численности  населения города в возрасте от 3 до 79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учащихся,  </w:t>
      </w:r>
      <w:r>
        <w:rPr>
          <w:rFonts w:ascii="Times New Roman CYR" w:hAnsi="Times New Roman CYR" w:cs="Times New Roman CYR"/>
          <w:sz w:val="28"/>
          <w:szCs w:val="28"/>
        </w:rPr>
        <w:t>систематически занимающихся физической культурой и спортом,  в 2015 году  составила 1 349 человек,  это  37,75% от численности  населения города в возрасте до 17 лет.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прогнозируемом периоде доля учащихся, систематически занимающихся физической культурой и спортом, в 2016 году составит – 38,20%,  а  в 2018 году  – 38,98%  </w:t>
      </w:r>
      <w:r>
        <w:rPr>
          <w:rFonts w:ascii="Times New Roman CYR" w:hAnsi="Times New Roman CYR" w:cs="Times New Roman CYR"/>
          <w:sz w:val="28"/>
          <w:szCs w:val="28"/>
        </w:rPr>
        <w:t>от численности  населения города в возрасте до 17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Жилищное строительство и обеспечение граждан жильем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строящихся объектов по городу Бородино,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 начала 2015 года</w:t>
      </w:r>
      <w:r>
        <w:rPr>
          <w:rFonts w:ascii="Times New Roman CYR" w:hAnsi="Times New Roman CYR" w:cs="Times New Roman CYR"/>
          <w:sz w:val="28"/>
          <w:szCs w:val="28"/>
        </w:rPr>
        <w:t xml:space="preserve"> на отчетную дату составляет, всего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282 в</w:t>
      </w:r>
      <w:r>
        <w:rPr>
          <w:rFonts w:ascii="Times New Roman CYR" w:hAnsi="Times New Roman CYR" w:cs="Times New Roman CYR"/>
          <w:sz w:val="28"/>
          <w:szCs w:val="28"/>
        </w:rPr>
        <w:t xml:space="preserve"> том числе: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254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 индивидуального жилищного строительства;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 8  объектов многоквартирных жилых домов (в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бъеков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реконструкции);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>объектов гражданского назначения;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  </w:t>
      </w:r>
      <w:r>
        <w:rPr>
          <w:rFonts w:ascii="Times New Roman CYR" w:hAnsi="Times New Roman CYR" w:cs="Times New Roman CYR"/>
          <w:sz w:val="28"/>
          <w:szCs w:val="28"/>
        </w:rPr>
        <w:t>объектов производственного назначения;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За отчетный период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2015 </w:t>
      </w:r>
      <w:r>
        <w:rPr>
          <w:rFonts w:ascii="Times New Roman CYR" w:hAnsi="Times New Roman CYR" w:cs="Times New Roman CYR"/>
          <w:sz w:val="28"/>
          <w:szCs w:val="28"/>
        </w:rPr>
        <w:t xml:space="preserve">года  количество введенных в эксплуатацию  объектов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11,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из них: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объектов гражданского назначения (магазины);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производственного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назнаения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объектов жилищного назначения.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Ввод жилья  с начала 2015 года</w:t>
      </w:r>
      <w:r>
        <w:rPr>
          <w:rFonts w:ascii="Times New Roman CYR" w:hAnsi="Times New Roman CYR" w:cs="Times New Roman CYR"/>
          <w:sz w:val="28"/>
          <w:szCs w:val="28"/>
        </w:rPr>
        <w:t xml:space="preserve"> на отчетную дату  составляет –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4061,4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 в том числе: </w:t>
      </w:r>
      <w:r>
        <w:rPr>
          <w:rFonts w:ascii="Times New Roman CYR" w:hAnsi="Times New Roman CYR" w:cs="Times New Roman CYR"/>
          <w:sz w:val="28"/>
          <w:szCs w:val="28"/>
        </w:rPr>
        <w:t>1-квартира реконструкция), площадью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14,5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Количество выданных разрешений на  строительство: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95,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них: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85 </w:t>
      </w:r>
      <w:r>
        <w:rPr>
          <w:rFonts w:ascii="Times New Roman CYR" w:hAnsi="Times New Roman CYR" w:cs="Times New Roman CYR"/>
          <w:sz w:val="28"/>
          <w:szCs w:val="28"/>
        </w:rPr>
        <w:t>разрешений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по объектам индивидуального жилищного строительства;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разрешений – по многоквартирным жилым домам;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разрешения по объектам гражданского назначения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магазины;  офисы);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 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разрешений на объект производственного назначения;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44208C" w:rsidRDefault="0044208C" w:rsidP="0044208C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В границах спроектированного земельного участка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микрорайоне «Северный» продолжается выделение земельных участков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под строительство индивидуальных жилых домов, площадь каждого земельного участка 1000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в том числе многодетным семьям, а также земельные участки для малоэтажной многоквартирной жилой застройки, детский сад на 190 мест, магазин.</w:t>
      </w:r>
    </w:p>
    <w:p w:rsidR="0044208C" w:rsidRDefault="0044208C" w:rsidP="0044208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Предоставление земельных участков многодетным семьям, в соответствии с регистром многодетных семей, состоящих на учете для предоставления им на безвозмездной основе земельных участков, будет приоритетным в микрорайоне «Северный».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площадь жилых помещений, приходящаяся в среднем на одного жителя всего, в том числе введенная в действие за один год</w:t>
      </w: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жилых помещений, приходящаяся в среднем на одного жителя по форме федерального статистического наблюдения №1-жилфонд, в 2015 году составила 26,7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(в 2014 г. – 26,3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том числе площадь жилых помещений, введенная в действие за один год, согласно формы федерального статистического наблюдения №С-1, №1-ИЖС, в 2015 году составила 0,23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2014 - 0,21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2015 году в рамках муниципальной адресной программы "Переселение граждан из аварийного жилищного фонда в городе Бородино с учетом необходимости развития малоэтажного жилищного строительства"  введен в эксплуатацию 3-х этажный 27-ми квартирный жилой дом №51 по ул. Советская, в который 10 сентября 2015 года переселено 70 человек, проживавших в помещениях, признанных в установленном порядке аварийными.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Ликвидировано 1017,2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жилых помещений аварийного жилищного фонда.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85"/>
        <w:gridCol w:w="1203"/>
        <w:gridCol w:w="1134"/>
        <w:gridCol w:w="1134"/>
      </w:tblGrid>
      <w:tr w:rsidR="0044208C" w:rsidTr="0044208C">
        <w:tc>
          <w:tcPr>
            <w:tcW w:w="759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 жилья,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етров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4208C" w:rsidTr="0044208C">
        <w:trPr>
          <w:trHeight w:val="372"/>
        </w:trPr>
        <w:tc>
          <w:tcPr>
            <w:tcW w:w="40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Введено всего,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 том числе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</w:tr>
      <w:tr w:rsidR="0044208C" w:rsidTr="0044208C">
        <w:trPr>
          <w:trHeight w:val="405"/>
        </w:trPr>
        <w:tc>
          <w:tcPr>
            <w:tcW w:w="40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3692,0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1700,00</w:t>
            </w:r>
          </w:p>
        </w:tc>
      </w:tr>
      <w:tr w:rsidR="0044208C" w:rsidTr="0044208C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индивидуальное жилищное строительства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282,9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100,0</w:t>
            </w:r>
          </w:p>
        </w:tc>
      </w:tr>
      <w:tr w:rsidR="0044208C" w:rsidTr="0044208C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многоквартирное строительство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2036,9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</w:tr>
    </w:tbl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Низкие показатели ввода жилья в плановом периоде обусловлены отсутствием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многокварирного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строительства в плановом периоде 2016-2018 годов. Таким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ввод жилья будет осуществляться только за счет ИЖС.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Площадь земельных участков предоставленных населению города для строительства в расчете на 10 тыс. населения  всего составила в 2015 году 10,58 га (в 2014 году 11,55 га). </w:t>
      </w: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 для жилищного строительства в 2015 году – 4,40 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2014 году – 6,31 га.)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97"/>
        <w:gridCol w:w="1185"/>
        <w:gridCol w:w="1045"/>
        <w:gridCol w:w="938"/>
        <w:gridCol w:w="938"/>
      </w:tblGrid>
      <w:tr w:rsidR="0044208C" w:rsidTr="0044208C">
        <w:tc>
          <w:tcPr>
            <w:tcW w:w="86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предоставленных земельных участков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4208C" w:rsidTr="0044208C">
        <w:trPr>
          <w:trHeight w:val="645"/>
        </w:trPr>
        <w:tc>
          <w:tcPr>
            <w:tcW w:w="42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земельных участков (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), предоставленных для строительства, всего: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</w:tr>
      <w:tr w:rsidR="0044208C" w:rsidTr="0044208C">
        <w:trPr>
          <w:trHeight w:val="645"/>
        </w:trPr>
        <w:tc>
          <w:tcPr>
            <w:tcW w:w="42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18,9718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17,2292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</w:p>
        </w:tc>
      </w:tr>
      <w:tr w:rsidR="0044208C" w:rsidTr="0044208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жилищного строительства 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для ИЖС)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10,3615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7,1686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1,0</w:t>
            </w:r>
          </w:p>
        </w:tc>
      </w:tr>
      <w:tr w:rsidR="0044208C" w:rsidTr="0044208C">
        <w:trPr>
          <w:trHeight w:val="66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комплексного освоения в целях жилищного строительства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</w:tr>
      <w:tr w:rsidR="0044208C" w:rsidTr="0044208C">
        <w:trPr>
          <w:trHeight w:val="91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8,6103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10,0606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1,0</w:t>
            </w:r>
          </w:p>
        </w:tc>
      </w:tr>
    </w:tbl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2014-2015 годах в границах спроектированного земельного участка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микрорайоне «Северный» производилось выделение земельных участков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под строительство индивидуальных жилых домов, в планируемом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переоде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предусмотрена разработка новых земельных участков в черте города, в связи с этим происходит уменьшение площади земельных участков, предоставляемых для строительства.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получено разрешение на ввод в эксплуатацию в муниципальном образовании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объектов жилищного строительства - в течение 3 лет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Объектов жилищного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строительства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 отношении которых с даты принятия решения о предоставлении или подписания протокола о результатах торгов (конкурсов, аукционов) не было получено разрешение на ввод в эксплуатацию в течение 3 лет в городе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иных объектов капитального строительства - в течение 5 лет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Иных объектов капитального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строительства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 отношении которых с даты принятия решения о предоставлении или подписания протокола о результатах торгов (конкурсов, аукционов) не было получено разрешение на ввод в эксплуатацию в течение 5 лет в городе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Стратегической задачей на ближайшие годы для города является совершенствование работы жилищно-коммунальной системы и реформа управления жилищным фондом.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Жилищно-коммунальное хозяйство города представляют предприятия ООО «Строительная компания», ООО «Ваш управдом», ООО «УК Строй Ком», ООО «Идиллия», ООО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Агропромкомплект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right="-5" w:firstLine="9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 2012 году – 100%, в 2013 году – 100 %, в 2014 году - 100 %, в отчетном периоде 2015 года – 100,00 %. В прогнозируемом периоде на 2016 – 2018 года 100%. 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осуществляющих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свою деятельность на территории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города выполняются все условия 185-ФЗ от 21 июля 2007 г. «О Фонде содействия реформированию жилищно-коммунального хозяйства».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многоквартирными домами на территории города осуществляют управляющие компании: ООО «Ваш управдом», ООО «Идиллия», ООО «УК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СтройКом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». 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Тепловодоснабжение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водоотведение и очистка сточных вод предприятий и населения города осуществляется ООО «Строительная компания».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Электроснабжение - ООО «Красноярская региональная энергетическая компания». 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Агропромкомплект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предоставляет на территории города услуги по утилизации (захоронению) твердых бытовых отходов.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right="-5" w:firstLine="9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Данные организации  являются монополистами на рынке ОКК, осуществляющих производство товаров,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общемчисле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организаций коммунального комплекса, осуществляющих свою деятельность на территории города Бородино.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right="-5" w:firstLine="9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этим, показатель Доклада по всем годам составляет 100%.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2015 года 100% многоквартирных домов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расположены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участках, в отношении которых осуществлен государственный кадастровый учет.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Доля  населения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помещениях: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4051"/>
        <w:gridCol w:w="1134"/>
        <w:gridCol w:w="1149"/>
        <w:gridCol w:w="1119"/>
        <w:gridCol w:w="1134"/>
        <w:gridCol w:w="1134"/>
      </w:tblGrid>
      <w:tr w:rsidR="0044208C" w:rsidTr="0044208C">
        <w:trPr>
          <w:jc w:val="center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</w:tr>
      <w:tr w:rsidR="0044208C" w:rsidTr="0044208C">
        <w:trPr>
          <w:jc w:val="center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1=2/3*100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1=2/3*100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1=2/3*100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1=2/3*100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1=2/3*100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</w:tr>
      <w:tr w:rsidR="0044208C" w:rsidTr="0044208C">
        <w:trPr>
          <w:trHeight w:val="720"/>
          <w:jc w:val="center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договору социального найма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отчетном году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44208C" w:rsidTr="0044208C">
        <w:trPr>
          <w:jc w:val="center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договорам социального найма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конец прошлого года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389</w:t>
            </w:r>
          </w:p>
        </w:tc>
      </w:tr>
    </w:tbl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2015 году в рамках муниципальной адресной программы "Переселение граждан из аварийного жилищного фонда в городе Бородино с учетом необходимости развития малоэтажного жилищного строительства" был сдан в эксплуатацию 27-ми квартирный жилой дом. Жилые помещения предоставлены по договорам социального найма. Низкие показатели в плановом периоде обусловлены отсутствием текущего строительства и свободного муниципального жилищного фонда.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муниципального управления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задачами органов местного самоуправления являются эффективное управление финансовыми ресурсами местных бюджетов и обеспечение сбалансированности расходных и доходных полномочий.  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 города Бородино по доходам исполнен на 95,2%,  при уточненном плане 555 973 тыс. рублей, исполнение составило 529 613 тыс. рублей.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 источниками доходной части бюджета являются: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прибыль организаций, при уточненном плане 37 300 тыс. рублей исполнение составило 44 171 тыс. рублей,  или 118,4 %. К собственным доходам исполнение составило 13,0 %.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доходы физических лиц, при уточненном плане 65 970 тыс. рублей, исполнение составило 69 310 тыс. рублей, или на 105,1 %. К собственным доходам исполнение составило 20,4 %.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доходы от использования имущества, находящегося в муниципальной собственности, при уточненном плане 44 610 тыс. рублей, исполнение составило 15 652 тыс. рублей, или на 35,1 %. К собственным доходам исполнение составило 4,6 %.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продажи материальных и нематериальных активов, при уточненном плане 3 915 тыс. руб., исполнение составило 4 460 тыс. рублей, или на 113,92 %. К собственным доходам исполнение составило 1,3 %.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налогов на имущество, при уточненном плане 10 263 тыс. руб., исполнение составило 10 163 тыс. рублей, или на 99,0 %. К собственным доходам исполнение составило 3,0 %.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оказания платных услуг, при уточненном плане 7 677 тыс. рублей, исполнение составило 7 632 тыс. рублей, или на 99,4 %. К собственным доходам исполнение составило 2,2 %.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налогов на совокупный доход, при уточненном плане 6 908 тыс. рублей, исполнение составило 6 955 тыс. рублей, или на 100,7 %. К собственным доходам исполнение составило 2,0 %.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уплаты госпошлины, при уточненном плане 2 137 тыс. рублей, исполнение составило 2 280 тыс. рублей, или на 106,7 %. К собственным доходам исполнение составило 0,7 %.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остальных видов доходов, при уточненном плане 3 599 тыс. рублей, исполнение составило 3 569 тыс. рублей, или на 99,2 %. К собственным доходам исполнение составило 1,0 %.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Безвозмездные поступления  в доходной части бюджета исполнены в сумме 365 420 тыс. рублей,  при уточненном плане 373 593 тыс. рублей. В общем объеме доходов безвозмездные поступления составляют 97,8 %.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Остаток средств на счетах бюджета города Бородино на 01.01.2016 года составил 5 331,8 тыс. руб.: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Наличие остатков целевых средств по субвенциям из краевого бюджета в сумме 2 343,6 тыс. руб.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возвращены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краевой бюджет в 2016 году);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Наличие свободного остатка на 01.01.2016 года в сумме 2 988,2 тыс. руб.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 города по расходам исполнен на  97,6 %, при уточненном плане  566 666  тыс. рублей, исполнение составило 553 299 тыс. рублей.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разделам исполнение сложилось следующим образом: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942"/>
        <w:gridCol w:w="1730"/>
        <w:gridCol w:w="1537"/>
        <w:gridCol w:w="1623"/>
        <w:gridCol w:w="1300"/>
      </w:tblGrid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раздела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Уточненный план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 исполнения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 в общем объеме расходов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38 344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37 175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6,7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1 934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1 849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0,3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20 189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20 180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3,6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88 278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80 348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14,5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0,06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302 477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299 979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54,2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49 400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49 366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8,9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0,01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55 550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54379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9,8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5 727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5 271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0,9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2 488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2 488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0,4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1 863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1 849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0,3</w:t>
            </w:r>
          </w:p>
        </w:tc>
      </w:tr>
      <w:tr w:rsidR="0044208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566 666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553 299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08C" w:rsidRDefault="0044208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Бюджетная политика города ставит вопросы улучшения условий жизни человека, адресного решения социальных проблем, повышения качества муниципальных услуг, а также усиление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бюджетных средств.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Бюджетная политика в 2015 году  не предусматривала прямого увеличения расходов бюджета, связанного с ростом тарифов и цен на товары, работы и услуги. Обеспечение необходимых ресурсов для осуществления своей деятельности всех участников бюджетного процесса реализовано за счет экономии по всем направлениям  бюджетных расходов без снижения объемов  и сохранения качества оказываемых бюджетных услуг: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ограничены  объемы  потребления энергоресурсов  за счет  проведения мероприятий, направленных на рациональное  их использование (установка счетчиков, утверждение лимитов потребления энергоресурсов</w:t>
      </w:r>
      <w:proofErr w:type="gramEnd"/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обеспечена экономия средств по результатам  проведения конкурсных  процедур по муниципальному заказу.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городе были приняты и реализованы мероприятия, направленные на предотвращение  прироста  задолженности  и сохранения  среднего  уровня  собираемости  налогов и сборов, подлежащих  зачислению в бюджет. 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 2015 году была продолжена работа администрации города с  градообразующим предприятием города ОАО «СУЭК-Красноярск»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увеличению поступлений безвозмездных доходов в бюджет города и реализации  мероприятий. За 2015 год поступило 4 399 тыс. руб.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50" w:firstLine="660"/>
        <w:jc w:val="both"/>
        <w:rPr>
          <w:rFonts w:ascii="Arial CYR" w:hAnsi="Arial CYR" w:cs="Arial CYR"/>
          <w:sz w:val="20"/>
          <w:szCs w:val="20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19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198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составляет 48,26% в 2015 году (в 2014 году 59,8%).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 полной учетной стоимости) в 2015 году равна нулю.</w:t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итогам 2015 года, согласно данным Росстата, организаций муниципальной формы собственности, находящихся в стадии банкротства в городе Бородино не зарегистрировано.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Не завершенного в установленные сроки строительства, осуществляемого за счет средств бюджета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.Б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ородино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не имеется.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Просроченной кредиторской задолженности по оплате труда (включая начисления на оплату труда) муниципальных бюджетных учреждений в муниципальном образовании нет.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19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198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2015 году составили 1831,0 руб. (в 2014 году 1851 руб.).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документом,  определяющим в интересах жителей города направления и границы территориального развития, функциональное зонирование, застройку и благоустройство территории, сохранение историко-культурного и природного наследия является генеральным план,  утвержденный городским Советом депутатов в 2009 году.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Удовлетворенность населения деятельностью местного самоуправления городского округа (муниципального района)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независимых опросов населения в городских округах и муниципальных районах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Корасноярского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края по уровню удовлетворенности населения деятельностью органов местного самоуправления уровень 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ородино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2015 году составил 46,7%.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Среднегодовая численность постоянного населения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right="198" w:firstLine="567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Среднегодовая численность постоянного населения города в 2015 году составила 16,278 тыс. человек, численность населения на начало года – 16,339 тыс. чел., на конец года - 16,218 тыс. чел. Данные свидетельствуют о постепенном сокращении численности населения.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Демографическая ситуация в городе  непосредственно связана с </w:t>
      </w:r>
      <w:r>
        <w:rPr>
          <w:rFonts w:ascii="Times New Roman CYR" w:hAnsi="Times New Roman CYR" w:cs="Times New Roman CYR"/>
          <w:sz w:val="28"/>
          <w:szCs w:val="28"/>
        </w:rPr>
        <w:t>миграционным оттоком населения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 наличием естественной убыли населения.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города Бородино в 2015 году в многоквартирных домах проживало 12437 человек на площади 336,6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Отклонения фактических показателей 2015 года от показателей 2014 года объясняется: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стр. 39.1. Незначительное увеличение (на 0,33 кВт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1 проживающего) за счет покупки различной бытовой техники (стиральные машины, посудомоечные машины, дополнительные телевизоры, компьютеры, мобильные телефоны и т.п.);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стр. 39.2. Уменьшение на 0.01 Гкал на 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за счет более теплых погодных условий в текущем отопительном периоде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- 39.3. Повышение на 0.91 куб. м. на 1 проживающего в связи с увеличением нормативов потребления.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- 39.4. Повышение на 1.81 куб. м. на 1 проживающего в связи с увеличением нормативов потребления.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- 39.5. Природный газ в городе Бородино не используется.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Удельная величина потребления энергетических ресурсов муниципальными бюджетными учреждениями: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электрическая энергия  в 2012 году – 198,22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 на 1 человека населения, в 2013 году – 152,30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 на 1 человека населения, в 2014 году - 157,13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 на 1 человека населения, в отчетном периоде 2015 года – 158,6кВ/ч. на 1 человека населения. Планируемые значения потребления электроэнергии муниципальными бюджетными учреждениями  на 3-х летний период составят: в 2016 году – 159,8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 на 1 человека населения, в 2016 году - 161,05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 на 1 человека населения,  в 2017  году - 162,36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/ч. на 1 человека населения;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тепловая энергия в 2012 году – 0,19 Гкал на 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общей площади, в 2013 году – 0,15 Гкал на 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общей площади, в 2014 году - 0,16 Гкал на 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общей площади, в отчетном периоде 2015 года – 0,15 Гкал на 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общей площади и на плановый период 2016-2018 гг. – 0,16 Гкал на 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общей площади;</w:t>
      </w:r>
    </w:p>
    <w:p w:rsidR="0044208C" w:rsidRDefault="0044208C" w:rsidP="0044208C">
      <w:pPr>
        <w:suppressAutoHyphens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горячая вода  в 2012 году – 1,58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проживающего, в 2013 году – 1,47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проживающего, в 2014 году - 1,05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проживающего, в отчетном периоде 2015 года – 1,06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проживающего и на плановый период в 2016 - 2017 годах останется без изменений – 1,07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на 1 проживающего, в 2018 году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- 1,08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на 1 проживающего;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холодная вода  в 2012 году – 2,65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человека населения, в 2013 году- 1,80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человека населения, в 2014 году - 1,74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проживающего, в отчетном периоде 2015 года – 1,75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1 человека населения и на плановый период в 2016-2017 годах останется без изменений 1, 77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на 1 человека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населения, в 2018 году - 1,78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на 1 проживающего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.»).</w:t>
      </w:r>
      <w:proofErr w:type="gramEnd"/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По показателям  наблюдается положительная динамика  благодаря программным мероприятиям, утвержденным постановлением от 29.07.10 г. № 422-п долгосрочной целевой программы по «Энергосбережению и повышению энергетической эффективности в Красноярском крае» и Муниципальной программы «Реформирование и модернизация жилищно-коммунального хозяйства и повышение энергетической эффективности» Подпрограммы № 2.  «Энергосбережение и повышение энергетической эффективности в городе Бородино".</w:t>
      </w:r>
    </w:p>
    <w:p w:rsidR="0044208C" w:rsidRP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442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Проблемы при формировании доклада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208C" w:rsidRDefault="0044208C" w:rsidP="0044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13C8" w:rsidRDefault="00B313C8"/>
    <w:sectPr w:rsidR="00B313C8" w:rsidSect="000F50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36"/>
    <w:rsid w:val="00340049"/>
    <w:rsid w:val="0044208C"/>
    <w:rsid w:val="00B313C8"/>
    <w:rsid w:val="00B65D36"/>
    <w:rsid w:val="00F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8037</Words>
  <Characters>45813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53743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Машинцева И.А.</dc:creator>
  <cp:keywords/>
  <dc:description/>
  <cp:lastModifiedBy>Машинцева И.А.</cp:lastModifiedBy>
  <cp:revision>4</cp:revision>
  <cp:lastPrinted>2016-04-29T04:00:00Z</cp:lastPrinted>
  <dcterms:created xsi:type="dcterms:W3CDTF">2016-04-29T03:52:00Z</dcterms:created>
  <dcterms:modified xsi:type="dcterms:W3CDTF">2016-06-10T01:09:00Z</dcterms:modified>
</cp:coreProperties>
</file>